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ABD2" w14:textId="287D689A" w:rsidR="00537A1A" w:rsidRPr="009F5BBF" w:rsidRDefault="00436059" w:rsidP="00023CB8">
      <w:pPr>
        <w:pStyle w:val="Title"/>
      </w:pPr>
      <w:r>
        <w:t>The Promise of Accessible Textbooks: Increased Achievement for All Students</w:t>
      </w:r>
    </w:p>
    <w:p w14:paraId="5B227D57" w14:textId="13457EE3" w:rsidR="00537A1A" w:rsidRDefault="00537A1A" w:rsidP="00B90721">
      <w:pPr>
        <w:pStyle w:val="Subtitle"/>
        <w:ind w:firstLine="0"/>
      </w:pPr>
      <w:r>
        <w:t xml:space="preserve">By </w:t>
      </w:r>
      <w:r w:rsidR="00436059">
        <w:t>Skip Stahl</w:t>
      </w:r>
    </w:p>
    <w:p w14:paraId="1F931255" w14:textId="64034006" w:rsidR="00647B47" w:rsidRDefault="00537A1A" w:rsidP="00444304">
      <w:pPr>
        <w:pStyle w:val="Subtitle"/>
        <w:ind w:firstLine="0"/>
      </w:pPr>
      <w:r>
        <w:t>Published:</w:t>
      </w:r>
      <w:r w:rsidR="002E1FBB">
        <w:t xml:space="preserve"> 2004; Updated: October 30, 2009</w:t>
      </w:r>
    </w:p>
    <w:p w14:paraId="5DFCA66B" w14:textId="327A0C95" w:rsidR="00423C45" w:rsidRPr="00423C45" w:rsidRDefault="00423C45" w:rsidP="00423C45">
      <w:pPr>
        <w:spacing w:after="0" w:afterAutospacing="0"/>
      </w:pPr>
      <w:r w:rsidRPr="00423C45">
        <w:t>This document was originally a</w:t>
      </w:r>
      <w:r w:rsidR="00B27657">
        <w:t xml:space="preserve"> product of the National Center on Accessing the General Curriculum (NCAC)</w:t>
      </w:r>
      <w:r w:rsidRPr="00423C45">
        <w:t>.</w:t>
      </w:r>
      <w:r w:rsidR="002C7BAF">
        <w:t xml:space="preserve"> </w:t>
      </w:r>
    </w:p>
    <w:p w14:paraId="221B954A" w14:textId="4089488A" w:rsidR="00647B47" w:rsidRDefault="00423C45" w:rsidP="00423C45">
      <w:pPr>
        <w:spacing w:after="0" w:afterAutospacing="0"/>
        <w:rPr>
          <w:rStyle w:val="Hyperlink"/>
        </w:rPr>
      </w:pPr>
      <w:r w:rsidRPr="00423C45">
        <w:t>This version updated and distributed by the AEM Center.</w:t>
      </w:r>
    </w:p>
    <w:p w14:paraId="6832FE79" w14:textId="77777777" w:rsidR="00647B47" w:rsidRPr="00821F56" w:rsidRDefault="00647B47" w:rsidP="00537A1A">
      <w:pPr>
        <w:rPr>
          <w:rStyle w:val="Hyperlink"/>
        </w:rPr>
      </w:pPr>
    </w:p>
    <w:p w14:paraId="2279CAE1" w14:textId="77777777" w:rsidR="00B90721" w:rsidRDefault="00B90721" w:rsidP="00537A1A">
      <w:pPr>
        <w:sectPr w:rsidR="00B90721" w:rsidSect="000C4CBA">
          <w:headerReference w:type="default" r:id="rId8"/>
          <w:footerReference w:type="even" r:id="rId9"/>
          <w:footerReference w:type="default" r:id="rId10"/>
          <w:pgSz w:w="12240" w:h="15840"/>
          <w:pgMar w:top="2434" w:right="1440" w:bottom="1440" w:left="1440" w:header="720" w:footer="720" w:gutter="0"/>
          <w:cols w:space="720"/>
          <w:docGrid w:linePitch="360"/>
        </w:sectPr>
      </w:pPr>
    </w:p>
    <w:p w14:paraId="13306AA7" w14:textId="678DB008" w:rsidR="00B90721" w:rsidRDefault="00B90721" w:rsidP="00444304">
      <w:pPr>
        <w:sectPr w:rsidR="00B90721" w:rsidSect="00B727E3">
          <w:type w:val="continuous"/>
          <w:pgSz w:w="12240" w:h="15840"/>
          <w:pgMar w:top="2434" w:right="1440" w:bottom="1440" w:left="1440" w:header="720" w:footer="720" w:gutter="0"/>
          <w:cols w:num="2" w:space="720" w:equalWidth="0">
            <w:col w:w="7200" w:space="720"/>
            <w:col w:w="1440"/>
          </w:cols>
          <w:docGrid w:linePitch="360"/>
        </w:sectPr>
      </w:pPr>
      <w:r>
        <w:lastRenderedPageBreak/>
        <w:t xml:space="preserve">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w:t>
      </w:r>
      <w:proofErr w:type="spellStart"/>
      <w:r>
        <w:t>Ed.D</w:t>
      </w:r>
      <w:proofErr w:type="spellEnd"/>
      <w:r>
        <w:t>.</w:t>
      </w:r>
      <w:r>
        <w:br w:type="column"/>
      </w:r>
      <w:r>
        <w:rPr>
          <w:noProof/>
        </w:rPr>
        <w:lastRenderedPageBreak/>
        <w:drawing>
          <wp:inline distT="0" distB="0" distL="0" distR="0" wp14:anchorId="62812C97" wp14:editId="6C793720">
            <wp:extent cx="895350" cy="962025"/>
            <wp:effectExtent l="0" t="0" r="0" b="3175"/>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p>
    <w:p w14:paraId="41A71B17" w14:textId="77777777" w:rsidR="00444304" w:rsidRDefault="00444304" w:rsidP="00537A1A"/>
    <w:p w14:paraId="452E3826" w14:textId="77777777" w:rsidR="00444304" w:rsidRDefault="00444304" w:rsidP="00537A1A">
      <w:pPr>
        <w:sectPr w:rsidR="00444304" w:rsidSect="00B90721">
          <w:type w:val="continuous"/>
          <w:pgSz w:w="12240" w:h="15840"/>
          <w:pgMar w:top="2434" w:right="1440" w:bottom="1440" w:left="1440" w:header="720" w:footer="720" w:gutter="0"/>
          <w:cols w:space="720"/>
          <w:docGrid w:linePitch="360"/>
        </w:sectPr>
      </w:pPr>
    </w:p>
    <w:p w14:paraId="21AC371F" w14:textId="41666931" w:rsidR="00444304" w:rsidRDefault="00537A1A" w:rsidP="00537A1A">
      <w:r w:rsidRPr="000B5839">
        <w:lastRenderedPageBreak/>
        <w:t>T</w:t>
      </w:r>
      <w:r>
        <w:t xml:space="preserve">his work is licensed under a </w:t>
      </w:r>
      <w:hyperlink r:id="rId12" w:history="1">
        <w:r w:rsidRPr="00DD0F46">
          <w:rPr>
            <w:rStyle w:val="Hyperlink"/>
          </w:rPr>
          <w:t>Creative Commons Attribution-</w:t>
        </w:r>
        <w:proofErr w:type="spellStart"/>
        <w:r w:rsidRPr="00DD0F46">
          <w:rPr>
            <w:rStyle w:val="Hyperlink"/>
          </w:rPr>
          <w:t>ShareA</w:t>
        </w:r>
        <w:r w:rsidR="00B90721" w:rsidRPr="00DD0F46">
          <w:rPr>
            <w:rStyle w:val="Hyperlink"/>
          </w:rPr>
          <w:t>like</w:t>
        </w:r>
        <w:proofErr w:type="spellEnd"/>
        <w:r w:rsidR="00B90721" w:rsidRPr="00DD0F46">
          <w:rPr>
            <w:rStyle w:val="Hyperlink"/>
          </w:rPr>
          <w:t xml:space="preserve"> 4.0 International license.</w:t>
        </w:r>
      </w:hyperlink>
      <w:r>
        <w:t xml:space="preserve"> </w:t>
      </w:r>
      <w:bookmarkStart w:id="0" w:name="_Toc349833038"/>
      <w:bookmarkStart w:id="1" w:name="_Toc349830360"/>
      <w:bookmarkStart w:id="2" w:name="_Toc349828384"/>
      <w:bookmarkStart w:id="3" w:name="_GoBack"/>
      <w:bookmarkEnd w:id="3"/>
    </w:p>
    <w:p w14:paraId="2685E0F9" w14:textId="5DB2712A" w:rsidR="00537A1A" w:rsidRPr="00C527F8" w:rsidRDefault="00B90721" w:rsidP="00537A1A">
      <w:pPr>
        <w:rPr>
          <w:color w:val="1F497D"/>
        </w:rPr>
      </w:pPr>
      <w:r>
        <w:rPr>
          <w:rFonts w:ascii="Calibri" w:hAnsi="Calibri"/>
          <w:noProof/>
          <w:color w:val="1F497D"/>
        </w:rPr>
        <w:lastRenderedPageBreak/>
        <w:drawing>
          <wp:inline distT="0" distB="0" distL="0" distR="0" wp14:anchorId="6DB9767F" wp14:editId="0144BE84">
            <wp:extent cx="1228725" cy="428625"/>
            <wp:effectExtent l="0" t="0" r="0" b="3175"/>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bookmarkEnd w:id="0"/>
    <w:bookmarkEnd w:id="1"/>
    <w:bookmarkEnd w:id="2"/>
    <w:p w14:paraId="6BD24F57" w14:textId="77777777" w:rsidR="00444304" w:rsidRDefault="00444304" w:rsidP="00B27657">
      <w:pPr>
        <w:sectPr w:rsidR="00444304" w:rsidSect="00874B30">
          <w:type w:val="continuous"/>
          <w:pgSz w:w="12240" w:h="15840"/>
          <w:pgMar w:top="2434" w:right="1440" w:bottom="1440" w:left="1440" w:header="720" w:footer="720" w:gutter="0"/>
          <w:cols w:num="2" w:space="360" w:equalWidth="0">
            <w:col w:w="7200" w:space="360"/>
            <w:col w:w="1800"/>
          </w:cols>
          <w:docGrid w:linePitch="360"/>
        </w:sectPr>
      </w:pPr>
    </w:p>
    <w:p w14:paraId="1AF0B9DB" w14:textId="68B9D60A" w:rsidR="00B27657" w:rsidRPr="000A25CA" w:rsidRDefault="00A417E1" w:rsidP="00B27657">
      <w:proofErr w:type="gramStart"/>
      <w:r>
        <w:lastRenderedPageBreak/>
        <w:t xml:space="preserve">Stahl, </w:t>
      </w:r>
      <w:r w:rsidR="002E1FBB">
        <w:t>S.</w:t>
      </w:r>
      <w:r w:rsidR="00B27657">
        <w:t xml:space="preserve"> </w:t>
      </w:r>
      <w:r w:rsidR="00902859">
        <w:t>(2004).</w:t>
      </w:r>
      <w:proofErr w:type="gramEnd"/>
      <w:r w:rsidR="00902859">
        <w:t xml:space="preserve"> </w:t>
      </w:r>
      <w:r>
        <w:rPr>
          <w:i/>
        </w:rPr>
        <w:t>The Promise of Accessible Textbooks: Increased Achievement for All Students</w:t>
      </w:r>
      <w:r w:rsidR="00B27657">
        <w:rPr>
          <w:i/>
        </w:rPr>
        <w:t xml:space="preserve">. </w:t>
      </w:r>
      <w:r w:rsidR="00B27657">
        <w:t xml:space="preserve">Wakefield, MA: National Center on Accessing the General Curriculum. </w:t>
      </w:r>
      <w:r w:rsidR="00B27657" w:rsidRPr="00902859">
        <w:t>(Links updated</w:t>
      </w:r>
      <w:r w:rsidR="009D63BB">
        <w:t xml:space="preserve"> 2009</w:t>
      </w:r>
      <w:r w:rsidR="00B27657" w:rsidRPr="00902859">
        <w:t>).</w:t>
      </w:r>
      <w:r w:rsidR="00B27657">
        <w:t xml:space="preserve"> Retrieved </w:t>
      </w:r>
      <w:r w:rsidR="00B27657" w:rsidRPr="00902859">
        <w:t>[insert date]</w:t>
      </w:r>
      <w:r w:rsidR="00B27657">
        <w:t xml:space="preserve"> from </w:t>
      </w:r>
      <w:r w:rsidR="00742DFC" w:rsidRPr="00DD0F46">
        <w:t>http://aem.cast.org/about/publications/2004/ncac-accessible-textbooks.html</w:t>
      </w:r>
    </w:p>
    <w:p w14:paraId="46581736" w14:textId="3C7F5A65" w:rsidR="001F1980" w:rsidRDefault="001F1980" w:rsidP="001F1980">
      <w:pPr>
        <w:rPr>
          <w:rFonts w:cs="Arial"/>
        </w:rPr>
      </w:pPr>
    </w:p>
    <w:p w14:paraId="11B6C1D0" w14:textId="77777777" w:rsidR="00970CFD" w:rsidRDefault="00970CFD" w:rsidP="001F1980">
      <w:pPr>
        <w:rPr>
          <w:rFonts w:cs="Arial"/>
        </w:rPr>
        <w:sectPr w:rsidR="00970CFD" w:rsidSect="005E41BF">
          <w:type w:val="continuous"/>
          <w:pgSz w:w="12240" w:h="15840"/>
          <w:pgMar w:top="2434" w:right="1440" w:bottom="1440" w:left="1440" w:header="720" w:footer="720" w:gutter="0"/>
          <w:cols w:space="720"/>
          <w:titlePg/>
          <w:docGrid w:linePitch="360"/>
        </w:sectPr>
      </w:pPr>
    </w:p>
    <w:p w14:paraId="3BA2B9C7" w14:textId="2C9B1CB4" w:rsidR="003D79E9" w:rsidRPr="00A417E1" w:rsidRDefault="003D79E9" w:rsidP="00542C20">
      <w:pPr>
        <w:pStyle w:val="Heading1"/>
      </w:pPr>
      <w:r>
        <w:lastRenderedPageBreak/>
        <w:t>The Promise of Accessible Textbooks: Increased Achievement for All Students</w:t>
      </w:r>
    </w:p>
    <w:p w14:paraId="6CBDE1F4" w14:textId="77777777" w:rsidR="003D79E9" w:rsidRDefault="003D79E9" w:rsidP="00542C20">
      <w:pPr>
        <w:pStyle w:val="Heading2"/>
      </w:pPr>
      <w:r>
        <w:t>Just Beyond Reach—Appropriate Materials for All Students</w:t>
      </w:r>
    </w:p>
    <w:p w14:paraId="4B92459A" w14:textId="77777777" w:rsidR="003D79E9" w:rsidRDefault="003D79E9" w:rsidP="00A417E1">
      <w:r w:rsidRPr="00EA0437">
        <w:t>Today’s classrooms house an increasingly diverse student population, including not only students with widely different social, economic, cultural</w:t>
      </w:r>
      <w:r>
        <w:t>,</w:t>
      </w:r>
      <w:r w:rsidRPr="00EA0437">
        <w:t xml:space="preserve"> and language backgrounds</w:t>
      </w:r>
      <w:r>
        <w:t>;</w:t>
      </w:r>
      <w:r w:rsidRPr="00EA0437">
        <w:t xml:space="preserve"> but also students with a wide range of physical, cognitive, and sensory disabilities. The federal No Child Left Behind Act </w:t>
      </w:r>
      <w:r>
        <w:t xml:space="preserve">(NCLB) </w:t>
      </w:r>
      <w:r w:rsidRPr="00EA0437">
        <w:t>of 200</w:t>
      </w:r>
      <w:r>
        <w:t>1</w:t>
      </w:r>
      <w:r w:rsidRPr="00EA0437">
        <w:t xml:space="preserve"> and the Individuals with Disabilities Education Act (IDEA) of 1997 mandate increased expectations and accountability for this diverse range of students to access, participate, and progress in the general curriculum. In order to ensure that all of these students are able to achieve in the general curriculum, particularly in light of such disparate strengths and needs, teachers must individualize instruction.</w:t>
      </w:r>
    </w:p>
    <w:p w14:paraId="4584F771" w14:textId="77777777" w:rsidR="003D79E9" w:rsidRDefault="003D79E9" w:rsidP="00A417E1">
      <w:r w:rsidRPr="00EA0437">
        <w:t xml:space="preserve">One critical barrier to individualizing instruction is the curriculum itself. Rather than offering multiple gateways to learning and understanding, the “one size fits all” printed textbooks and other resources that make up the general curriculum often serve as barriers. While conventional materials are reasonably accessible to many students, they clearly present significant barriers for students with sensory or motor disabilities; they also present </w:t>
      </w:r>
      <w:r>
        <w:t xml:space="preserve">a challenge to students with low cognitive abilities, those with </w:t>
      </w:r>
      <w:proofErr w:type="spellStart"/>
      <w:r>
        <w:t>attentional</w:t>
      </w:r>
      <w:proofErr w:type="spellEnd"/>
      <w:r>
        <w:t xml:space="preserve"> and organizational problems, and </w:t>
      </w:r>
      <w:proofErr w:type="gramStart"/>
      <w:r w:rsidRPr="00EA0437">
        <w:t>more subtle</w:t>
      </w:r>
      <w:proofErr w:type="gramEnd"/>
      <w:r w:rsidRPr="00EA0437">
        <w:t>, yet equally pervasive, barriers for the largest population of identified special education students</w:t>
      </w:r>
      <w:r>
        <w:t>—</w:t>
      </w:r>
      <w:r w:rsidRPr="00EA0437">
        <w:t xml:space="preserve">those </w:t>
      </w:r>
      <w:r>
        <w:t xml:space="preserve">with </w:t>
      </w:r>
      <w:r w:rsidRPr="00EA0437">
        <w:t>learning disabilities.</w:t>
      </w:r>
    </w:p>
    <w:p w14:paraId="1915835E" w14:textId="3BF5057D" w:rsidR="003D79E9" w:rsidRPr="002A7C03" w:rsidRDefault="003D79E9" w:rsidP="00A417E1">
      <w:r w:rsidRPr="00EA0437">
        <w:t xml:space="preserve">With fixed, uniform learning materials, teachers are left with the burden of individualizing instruction by providing supplementary adaptations or accommodations. Unfortunately, few teachers have either the time or expertise to adequately adapt the curriculum materials to meet the diverse needs of their students (Ellis &amp; </w:t>
      </w:r>
      <w:proofErr w:type="spellStart"/>
      <w:r w:rsidRPr="00EA0437">
        <w:t>Sabornie</w:t>
      </w:r>
      <w:proofErr w:type="spellEnd"/>
      <w:r w:rsidRPr="00EA0437">
        <w:t>, 1990; Moon</w:t>
      </w:r>
      <w:r>
        <w:t>, Callahan</w:t>
      </w:r>
      <w:r w:rsidR="002E1FBB">
        <w:t>,</w:t>
      </w:r>
      <w:r>
        <w:t xml:space="preserve"> &amp; Tomlinson</w:t>
      </w:r>
      <w:r w:rsidRPr="00EA0437">
        <w:t>, 1999). Moreover, while some teachers are able to adapt materials for accessibility, it is a different matter to adapt them for instruction. Doing so requires careful attention to ensure that the goals for instruction are preserved in spite of the adaptations and to ensure that adequate learning progress has been achieved (Rose</w:t>
      </w:r>
      <w:r>
        <w:t xml:space="preserve"> &amp; Meyer</w:t>
      </w:r>
      <w:r w:rsidRPr="00EA0437">
        <w:t xml:space="preserve">, 2002; </w:t>
      </w:r>
      <w:proofErr w:type="spellStart"/>
      <w:r w:rsidRPr="00EA0437">
        <w:t>Edyburn</w:t>
      </w:r>
      <w:proofErr w:type="spellEnd"/>
      <w:r w:rsidRPr="00EA0437">
        <w:t xml:space="preserve">, 2004). Further, teachers’ efforts sometimes are </w:t>
      </w:r>
      <w:r w:rsidRPr="00EA0437">
        <w:lastRenderedPageBreak/>
        <w:t>ineffective because students perceive the adaptations as “different,” feel stigmatized by them, and are therefore reluctant to use them (Ellis, 19</w:t>
      </w:r>
      <w:r>
        <w:t>97</w:t>
      </w:r>
      <w:r w:rsidRPr="00EA0437">
        <w:t>).</w:t>
      </w:r>
    </w:p>
    <w:p w14:paraId="695D7467" w14:textId="77777777" w:rsidR="003D79E9" w:rsidRPr="00E83D33" w:rsidRDefault="003D79E9" w:rsidP="00542C20">
      <w:pPr>
        <w:pStyle w:val="Heading2"/>
      </w:pPr>
      <w:r>
        <w:t>T</w:t>
      </w:r>
      <w:r w:rsidRPr="00E83D33">
        <w:t xml:space="preserve">he </w:t>
      </w:r>
      <w:r>
        <w:t>S</w:t>
      </w:r>
      <w:r w:rsidRPr="00E83D33">
        <w:t xml:space="preserve">cope of the </w:t>
      </w:r>
      <w:r>
        <w:t>C</w:t>
      </w:r>
      <w:r w:rsidRPr="00E83D33">
        <w:t>hallenge</w:t>
      </w:r>
    </w:p>
    <w:p w14:paraId="414789A8" w14:textId="2A75BDC4" w:rsidR="003D79E9" w:rsidRDefault="003D79E9" w:rsidP="00A417E1">
      <w:r>
        <w:t>In the majority of the Nation’s approximately 100,000 public and private K–12 schools, textbooks are the primary curriculum material. Eighty to ninety percent of grades 4–12 math and science classrooms use textbooks (Hudson &amp; McMahon</w:t>
      </w:r>
      <w:proofErr w:type="gramStart"/>
      <w:r>
        <w:t>.,</w:t>
      </w:r>
      <w:proofErr w:type="gramEnd"/>
      <w:r>
        <w:t xml:space="preserve"> 2002), and that figure is similar for reading and language arts instruction (NCREL, 2000). The average yearly expenditure for textbooks and related materials in each of these 100,000 schools is approximately $10,000 per school per year (Li, 2002). </w:t>
      </w:r>
    </w:p>
    <w:p w14:paraId="7078BDA2" w14:textId="77777777" w:rsidR="003D79E9" w:rsidRDefault="003D79E9" w:rsidP="00A417E1">
      <w:r>
        <w:t xml:space="preserve">In addition to being the principal learning resource for general education students, the use of textbooks by students with disabilities increases steadily as these students progress through the educational system. As reported from the </w:t>
      </w:r>
      <w:r w:rsidRPr="00D06F79">
        <w:t>National Longitudinal Transition Study-2 (NLTS2</w:t>
      </w:r>
      <w:r>
        <w:t xml:space="preserve">): </w:t>
      </w:r>
    </w:p>
    <w:p w14:paraId="630FD441" w14:textId="7F71A43B" w:rsidR="003D79E9" w:rsidRPr="002E33B6" w:rsidRDefault="003D79E9" w:rsidP="00A417E1">
      <w:pPr>
        <w:pStyle w:val="Quote"/>
      </w:pPr>
      <w:r>
        <w:t xml:space="preserve">Students with learning </w:t>
      </w:r>
      <w:r w:rsidRPr="00E83D33">
        <w:t>disabilities</w:t>
      </w:r>
      <w:r>
        <w:t>, emotional disturbances, or speech, sensory, or other health impairments are among the most likely to use textbooks often (61% to 72% do so, compared with 41% of students with autism, p&lt;</w:t>
      </w:r>
      <w:proofErr w:type="gramStart"/>
      <w:r>
        <w:t>.001</w:t>
      </w:r>
      <w:proofErr w:type="gramEnd"/>
      <w:r>
        <w:t xml:space="preserve"> for most comparisons), at least in part because they also are the most likely to have experiences reported for academic subject classes (Levine &amp; Wagner, 2004)</w:t>
      </w:r>
    </w:p>
    <w:p w14:paraId="714EAABC" w14:textId="77777777" w:rsidR="003D79E9" w:rsidRDefault="003D79E9" w:rsidP="00A417E1">
      <w:r>
        <w:t xml:space="preserve">If the achievement of students with disabilities is to be assessed by the same instruments that chart the </w:t>
      </w:r>
      <w:r w:rsidRPr="00E83D33">
        <w:t>progress</w:t>
      </w:r>
      <w:r>
        <w:t xml:space="preserve"> of general education students, these instruments need to be accessible and flexible enough to accurately chart these students’ skills. Concomitantly, the curriculum resources—textbooks—that these students are provided with to acquire these skills also need to be accessible and appropriate from the outset.</w:t>
      </w:r>
    </w:p>
    <w:p w14:paraId="71F8E86D" w14:textId="77777777" w:rsidR="003D79E9" w:rsidRDefault="003D79E9" w:rsidP="00542C20">
      <w:pPr>
        <w:pStyle w:val="Heading2"/>
      </w:pPr>
      <w:r>
        <w:t>Accountability Raises the Bar</w:t>
      </w:r>
    </w:p>
    <w:p w14:paraId="74F9A0CB" w14:textId="77777777" w:rsidR="003D79E9" w:rsidRDefault="003D79E9" w:rsidP="00A417E1">
      <w:r>
        <w:rPr>
          <w:rStyle w:val="headerslevel2"/>
        </w:rPr>
        <w:t xml:space="preserve">The preface to Section 1 of </w:t>
      </w:r>
      <w:r w:rsidRPr="002B6FDD">
        <w:rPr>
          <w:rStyle w:val="headerslevel2"/>
        </w:rPr>
        <w:t xml:space="preserve">No Child Left Behind </w:t>
      </w:r>
      <w:r>
        <w:rPr>
          <w:rStyle w:val="headerslevel2"/>
        </w:rPr>
        <w:t>succinctly frames the purpose of the legislation:  “</w:t>
      </w:r>
      <w:r>
        <w:t>To close the achievement gap with accountability, flexibility, and choice, so that no child is left behind.”</w:t>
      </w:r>
      <w:r w:rsidRPr="00B471A6">
        <w:rPr>
          <w:rStyle w:val="FootnoteReference"/>
          <w:sz w:val="24"/>
        </w:rPr>
        <w:footnoteReference w:id="1"/>
      </w:r>
      <w:r>
        <w:t xml:space="preserve"> In the four years since its enactment, the majority of teachers, school administrators and school boards have focused on its accountability mandates while parents and advocates have attended to its provisions for choice, </w:t>
      </w:r>
      <w:r>
        <w:lastRenderedPageBreak/>
        <w:t xml:space="preserve">especially as regards school placement. Surprisingly, NCLB’s third keystone component, flexibility, received significantly less attention in the months immediately following the bill’s passage. In many cases, it wasn’t until the annual reporting mechanisms of the legislation’s Adequate Yearly Progress (AYP) requirements were implemented that the issue of flexibility increased in importance. </w:t>
      </w:r>
    </w:p>
    <w:p w14:paraId="279A8E0C" w14:textId="77777777" w:rsidR="003D79E9" w:rsidRDefault="003D79E9" w:rsidP="00A417E1">
      <w:r>
        <w:t>Adequate Yearly Progress is the annual benchmark against which schools are measured. All schools must provide achievement data in four separate areas:  reading/language arts, mathematics, and either graduation r</w:t>
      </w:r>
      <w:r w:rsidRPr="001846FA">
        <w:t xml:space="preserve">ate (for </w:t>
      </w:r>
      <w:r>
        <w:t>high schools and districts) or attendance r</w:t>
      </w:r>
      <w:r w:rsidRPr="001846FA">
        <w:t>ate (for elementary and middle/junior high schools)</w:t>
      </w:r>
      <w:r>
        <w:t xml:space="preserve">. Schools that do not meet annual progress goals (as established by individual states) in each of these three areas may be identified as “needing improvement”. Finally, AYP is also dependent upon </w:t>
      </w:r>
      <w:r>
        <w:rPr>
          <w:rStyle w:val="contenttext"/>
        </w:rPr>
        <w:t>a dis-aggregation of student achievement data by economic background, race, ethnicity, English proficiency and disability.</w:t>
      </w:r>
      <w:r>
        <w:t xml:space="preserve"> The intent of separately assessing the progress of students in these sub-categories is to assure an eventual parity in achievement for students perceived as disadvantaged—the “achievement gap” students.</w:t>
      </w:r>
      <w:r w:rsidRPr="00B471A6">
        <w:rPr>
          <w:vertAlign w:val="superscript"/>
        </w:rPr>
        <w:footnoteReference w:id="2"/>
      </w:r>
    </w:p>
    <w:p w14:paraId="6F483767" w14:textId="77777777" w:rsidR="003D79E9" w:rsidRDefault="003D79E9" w:rsidP="00A417E1">
      <w:r>
        <w:t xml:space="preserve">The combination of annual progress monitoring with a deliberate emphasis on students with disabilities quickly caught the attention of school, district and state level education personnel. Between 2001 and 2004 most states had moved towards some form of large-scale assessment in order to gather the achievement data that the AYP process required; very few of these assessment initiatives adequately addressed the needs of students with disabilities, despite the fact that NCLB was specific in its intent that the majority of enrolled students were expected to participate. </w:t>
      </w:r>
    </w:p>
    <w:p w14:paraId="40824A7A" w14:textId="7C7B3104" w:rsidR="003D79E9" w:rsidRDefault="003D79E9" w:rsidP="00A417E1">
      <w:r>
        <w:t xml:space="preserve">Further, NCLB clearly required these large-scale assessments to be designed, from the outset, to accommodate these students: </w:t>
      </w:r>
    </w:p>
    <w:p w14:paraId="616FFF10" w14:textId="77777777" w:rsidR="003D79E9" w:rsidRPr="00C755DB" w:rsidRDefault="003D79E9" w:rsidP="00190405">
      <w:pPr>
        <w:pStyle w:val="Quote"/>
      </w:pPr>
      <w:r w:rsidRPr="00C755DB">
        <w:t>§</w:t>
      </w:r>
      <w:proofErr w:type="gramStart"/>
      <w:r w:rsidRPr="00C755DB">
        <w:t>200.2  State</w:t>
      </w:r>
      <w:proofErr w:type="gramEnd"/>
      <w:r w:rsidRPr="00C755DB">
        <w:t xml:space="preserve"> responsibilities for assessments </w:t>
      </w:r>
    </w:p>
    <w:p w14:paraId="2098F35D" w14:textId="43ABA41E" w:rsidR="003D79E9" w:rsidRPr="00C755DB" w:rsidRDefault="00190405" w:rsidP="00190405">
      <w:pPr>
        <w:pStyle w:val="Quote"/>
      </w:pPr>
      <w:r>
        <w:t xml:space="preserve">(b) </w:t>
      </w:r>
      <w:r w:rsidR="003D79E9" w:rsidRPr="00C755DB">
        <w:t>The assessment system required under this section must meet the following requirements:</w:t>
      </w:r>
    </w:p>
    <w:p w14:paraId="26BCF581" w14:textId="77777777" w:rsidR="003D79E9" w:rsidRPr="00C755DB" w:rsidRDefault="003D79E9" w:rsidP="00190405">
      <w:pPr>
        <w:pStyle w:val="Quote"/>
        <w:rPr>
          <w:rStyle w:val="IndentedBulletChar"/>
          <w:rFonts w:ascii="Arial" w:eastAsiaTheme="minorEastAsia" w:hAnsi="Arial" w:cs="Arial"/>
        </w:rPr>
      </w:pPr>
      <w:r w:rsidRPr="00C755DB">
        <w:t>…</w:t>
      </w:r>
    </w:p>
    <w:p w14:paraId="3A230A9D" w14:textId="1900D115" w:rsidR="003D79E9" w:rsidRDefault="00190405" w:rsidP="00190405">
      <w:pPr>
        <w:pStyle w:val="Quote"/>
      </w:pPr>
      <w:r w:rsidRPr="00190405">
        <w:lastRenderedPageBreak/>
        <w:t xml:space="preserve">(2) </w:t>
      </w:r>
      <w:r w:rsidR="003D79E9" w:rsidRPr="00190405">
        <w:t>Be designed to be valid and accessible for use by the widest possible range of students,</w:t>
      </w:r>
      <w:r w:rsidR="003D79E9" w:rsidRPr="00C755DB">
        <w:t xml:space="preserve"> including students with disabilities and students with limited English proficiency.</w:t>
      </w:r>
      <w:r w:rsidR="003D79E9" w:rsidRPr="00B471A6">
        <w:rPr>
          <w:rStyle w:val="FootnoteReference"/>
          <w:rFonts w:cs="Arial"/>
          <w:sz w:val="22"/>
        </w:rPr>
        <w:footnoteReference w:id="3"/>
      </w:r>
      <w:r w:rsidR="003D79E9" w:rsidRPr="00B471A6">
        <w:t xml:space="preserve"> </w:t>
      </w:r>
    </w:p>
    <w:p w14:paraId="6D5AFE14" w14:textId="77777777" w:rsidR="003D79E9" w:rsidRDefault="003D79E9" w:rsidP="00C755DB">
      <w:r>
        <w:t>Many educators presumed that the majority of students with disabilities would qualify for “alternate” assessments, and this perception led to a qualification from the U.S. Department of Education in December of 2003. The Department clarified that NCLB limits participation in alternate assessment to 1% of the total student population</w:t>
      </w:r>
      <w:r w:rsidRPr="00B471A6">
        <w:rPr>
          <w:rStyle w:val="FootnoteReference"/>
          <w:sz w:val="24"/>
        </w:rPr>
        <w:footnoteReference w:id="4"/>
      </w:r>
      <w:r>
        <w:t xml:space="preserve"> (approximately 9% of identified special education students) and that the majority of special education students were expected to participate in the same assessments as their non-disabled peers.</w:t>
      </w:r>
    </w:p>
    <w:p w14:paraId="56D22553" w14:textId="77777777" w:rsidR="003D79E9" w:rsidRDefault="003D79E9" w:rsidP="00C755DB">
      <w:r>
        <w:t xml:space="preserve">In contrast to previous statutes (PL94-142; IDEA; Section 504; ADA) which mandated either unique services or equal access but left compliance to be shaped by the complaints or litigation of the very individuals these laws sought to protect, accountability under NCLB was designed to reflect the responsiveness and quality of the educational system itself. As a consequence, classrooms, schools, districts and states must pay as much attention to the achievement of students identified as “disadvantaged” (including those with disabilities) as they pay to any other student. </w:t>
      </w:r>
    </w:p>
    <w:p w14:paraId="56EEB5E5" w14:textId="585C4586" w:rsidR="003D79E9" w:rsidRPr="00387AC4" w:rsidRDefault="003D79E9" w:rsidP="00C755DB">
      <w:r w:rsidRPr="00387AC4">
        <w:t>Not surprisingly, the accountability mandates of NCLB have increased consideration of large-scale assessments that are designed from the beginning to be accessible to appropriate for students with disabilities (Thom</w:t>
      </w:r>
      <w:r>
        <w:t>p</w:t>
      </w:r>
      <w:r w:rsidRPr="00387AC4">
        <w:t xml:space="preserve">son &amp; </w:t>
      </w:r>
      <w:proofErr w:type="spellStart"/>
      <w:r w:rsidRPr="00387AC4">
        <w:t>Thurlow</w:t>
      </w:r>
      <w:proofErr w:type="spellEnd"/>
      <w:r w:rsidRPr="00387AC4">
        <w:t>, 2002; Dolan &amp; Hall,</w:t>
      </w:r>
      <w:r>
        <w:t xml:space="preserve"> </w:t>
      </w:r>
      <w:r w:rsidRPr="00387AC4">
        <w:t xml:space="preserve">2001; Dolan &amp; Hall, 2003; </w:t>
      </w:r>
      <w:proofErr w:type="spellStart"/>
      <w:r w:rsidRPr="00387AC4">
        <w:t>Abell</w:t>
      </w:r>
      <w:proofErr w:type="spellEnd"/>
      <w:r w:rsidRPr="00387AC4">
        <w:t xml:space="preserve">, </w:t>
      </w:r>
      <w:proofErr w:type="spellStart"/>
      <w:r w:rsidR="002E1FBB">
        <w:t>Bauder</w:t>
      </w:r>
      <w:proofErr w:type="spellEnd"/>
      <w:r w:rsidR="002E1FBB">
        <w:t xml:space="preserve">, &amp; Simmons, </w:t>
      </w:r>
      <w:r w:rsidRPr="00387AC4">
        <w:t xml:space="preserve">2004). These investigations have in turn prompted a re-analysis of classroom practices (Bowe, 1999; </w:t>
      </w:r>
      <w:proofErr w:type="spellStart"/>
      <w:r w:rsidRPr="00387AC4">
        <w:t>Orkwis</w:t>
      </w:r>
      <w:proofErr w:type="spellEnd"/>
      <w:r w:rsidRPr="00387AC4">
        <w:t xml:space="preserve">, 2003), the achievement standards on which they are based (McDonnell, </w:t>
      </w:r>
      <w:r w:rsidR="002E1FBB">
        <w:t>McLaughlin, &amp; Morison</w:t>
      </w:r>
      <w:r w:rsidRPr="00387AC4">
        <w:t>,</w:t>
      </w:r>
      <w:r>
        <w:t xml:space="preserve"> </w:t>
      </w:r>
      <w:r w:rsidRPr="00387AC4">
        <w:t xml:space="preserve">1997; </w:t>
      </w:r>
      <w:proofErr w:type="spellStart"/>
      <w:r w:rsidRPr="00387AC4">
        <w:t>Gloeckler</w:t>
      </w:r>
      <w:proofErr w:type="spellEnd"/>
      <w:r w:rsidRPr="00387AC4">
        <w:t xml:space="preserve">, 2001; </w:t>
      </w:r>
      <w:proofErr w:type="spellStart"/>
      <w:r w:rsidRPr="00387AC4">
        <w:t>Thurlow</w:t>
      </w:r>
      <w:proofErr w:type="spellEnd"/>
      <w:r w:rsidRPr="00387AC4">
        <w:t>,</w:t>
      </w:r>
      <w:r>
        <w:t xml:space="preserve"> </w:t>
      </w:r>
      <w:r w:rsidRPr="00387AC4">
        <w:t>2002</w:t>
      </w:r>
      <w:r>
        <w:t>b</w:t>
      </w:r>
      <w:r w:rsidRPr="00387AC4">
        <w:t>), and with intense scrutiny, the textbooks that create the foundation for instructional materials in the majority of the nation’s schools (</w:t>
      </w:r>
      <w:proofErr w:type="spellStart"/>
      <w:r w:rsidRPr="00387AC4">
        <w:t>Orkwis</w:t>
      </w:r>
      <w:proofErr w:type="spellEnd"/>
      <w:r w:rsidRPr="00387AC4">
        <w:t>, 1999; Gordon,</w:t>
      </w:r>
      <w:r w:rsidR="002E1FBB" w:rsidRPr="00387AC4" w:rsidDel="002E1FBB">
        <w:t xml:space="preserve"> </w:t>
      </w:r>
      <w:r w:rsidRPr="00387AC4">
        <w:t>2002; Perl</w:t>
      </w:r>
      <w:r w:rsidR="002E1FBB">
        <w:t xml:space="preserve"> &amp; Gordon</w:t>
      </w:r>
      <w:r w:rsidRPr="00387AC4">
        <w:t>, 2003; Dalton, 2003).</w:t>
      </w:r>
    </w:p>
    <w:p w14:paraId="1EC4FCBE" w14:textId="77777777" w:rsidR="003D79E9" w:rsidRPr="00565B90" w:rsidRDefault="003D79E9" w:rsidP="00542C20">
      <w:pPr>
        <w:pStyle w:val="Heading2"/>
      </w:pPr>
      <w:r w:rsidRPr="00565B90">
        <w:lastRenderedPageBreak/>
        <w:t>Existing Solutions</w:t>
      </w:r>
    </w:p>
    <w:p w14:paraId="0620C3BE" w14:textId="77777777" w:rsidR="003D79E9" w:rsidRPr="00387AC4" w:rsidRDefault="003D79E9" w:rsidP="00542C20">
      <w:pPr>
        <w:pStyle w:val="Heading3"/>
      </w:pPr>
      <w:r w:rsidRPr="00387AC4">
        <w:t>The Materials</w:t>
      </w:r>
    </w:p>
    <w:p w14:paraId="320204C6" w14:textId="66E40729" w:rsidR="003D79E9" w:rsidRPr="00C755DB" w:rsidRDefault="003D79E9" w:rsidP="00C755DB">
      <w:pPr>
        <w:rPr>
          <w:rFonts w:cs="Arial"/>
        </w:rPr>
      </w:pPr>
      <w:r w:rsidRPr="00C755DB">
        <w:rPr>
          <w:rFonts w:cs="Arial"/>
        </w:rPr>
        <w:t xml:space="preserve">Alternate-format materials are commonly provided to students with disabilities in one of four categories:  </w:t>
      </w:r>
      <w:r w:rsidR="00E536CD">
        <w:rPr>
          <w:rFonts w:cs="Arial"/>
        </w:rPr>
        <w:t>b</w:t>
      </w:r>
      <w:r w:rsidRPr="00C755DB">
        <w:rPr>
          <w:rFonts w:cs="Arial"/>
        </w:rPr>
        <w:t xml:space="preserve">raille, audio, large print, and e-text. An overview of how materials in each of these four categories are created for, made available to, and used by students is presented below. </w:t>
      </w:r>
    </w:p>
    <w:p w14:paraId="20854A51" w14:textId="77777777" w:rsidR="00C755DB" w:rsidRPr="00542C20" w:rsidRDefault="003D79E9" w:rsidP="00542C20">
      <w:pPr>
        <w:pStyle w:val="Heading4"/>
      </w:pPr>
      <w:r w:rsidRPr="00542C20">
        <w:t xml:space="preserve">Braille </w:t>
      </w:r>
    </w:p>
    <w:p w14:paraId="127DF4FA" w14:textId="28473E73" w:rsidR="003D79E9" w:rsidRPr="00C755DB" w:rsidRDefault="003D79E9" w:rsidP="00C755DB">
      <w:pPr>
        <w:rPr>
          <w:rFonts w:cs="Arial"/>
        </w:rPr>
      </w:pPr>
      <w:r w:rsidRPr="00C755DB">
        <w:rPr>
          <w:rFonts w:cs="Arial"/>
        </w:rPr>
        <w:t xml:space="preserve">For over one hundred years the American Printing House for the Blind (APH) has created books in alternate accessible formats, including </w:t>
      </w:r>
      <w:r w:rsidR="00E536CD">
        <w:rPr>
          <w:rFonts w:cs="Arial"/>
        </w:rPr>
        <w:t>braille</w:t>
      </w:r>
      <w:r w:rsidRPr="00C755DB">
        <w:rPr>
          <w:rFonts w:cs="Arial"/>
        </w:rPr>
        <w:t xml:space="preserve">, supported by an annual federal appropriation. In the early 1900s Congress began requiring that copies of embossed books be provided to the Library of Congress, and in the early 1930s, concurrent with the establishment of a uniform system of </w:t>
      </w:r>
      <w:r w:rsidR="00E536CD">
        <w:rPr>
          <w:rFonts w:cs="Arial"/>
        </w:rPr>
        <w:t>b</w:t>
      </w:r>
      <w:r w:rsidRPr="00C755DB">
        <w:rPr>
          <w:rFonts w:cs="Arial"/>
        </w:rPr>
        <w:t xml:space="preserve">raille, Congress established the National Library Service for the Blind and Physically Handicapped (NLS) at the Library of Congress. One of the purposes of establishing NLS was to provide federal coordination of the process of </w:t>
      </w:r>
      <w:r w:rsidR="00E536CD">
        <w:rPr>
          <w:rFonts w:cs="Arial"/>
        </w:rPr>
        <w:t>b</w:t>
      </w:r>
      <w:r w:rsidRPr="00C755DB">
        <w:rPr>
          <w:rFonts w:cs="Arial"/>
        </w:rPr>
        <w:t>raille production and distribution</w:t>
      </w:r>
      <w:r w:rsidRPr="00C755DB">
        <w:rPr>
          <w:rFonts w:cs="Arial"/>
          <w:vertAlign w:val="superscript"/>
        </w:rPr>
        <w:footnoteReference w:id="5"/>
      </w:r>
      <w:r w:rsidRPr="00C755DB">
        <w:rPr>
          <w:rFonts w:cs="Arial"/>
        </w:rPr>
        <w:t xml:space="preserve">. In addition to these large national </w:t>
      </w:r>
      <w:r w:rsidR="00E536CD">
        <w:rPr>
          <w:rFonts w:cs="Arial"/>
        </w:rPr>
        <w:t>b</w:t>
      </w:r>
      <w:r w:rsidRPr="00C755DB">
        <w:rPr>
          <w:rFonts w:cs="Arial"/>
        </w:rPr>
        <w:t xml:space="preserve">raille production and distribution centers, additional regional and state </w:t>
      </w:r>
      <w:r w:rsidR="00E536CD">
        <w:rPr>
          <w:rFonts w:cs="Arial"/>
        </w:rPr>
        <w:t>b</w:t>
      </w:r>
      <w:r w:rsidRPr="00C755DB">
        <w:rPr>
          <w:rFonts w:cs="Arial"/>
        </w:rPr>
        <w:t xml:space="preserve">raille distribution systems have been evolved in an effort to keep </w:t>
      </w:r>
      <w:r w:rsidR="00E536CD">
        <w:rPr>
          <w:rFonts w:cs="Arial"/>
        </w:rPr>
        <w:t>b</w:t>
      </w:r>
      <w:r w:rsidRPr="00C755DB">
        <w:rPr>
          <w:rFonts w:cs="Arial"/>
        </w:rPr>
        <w:t xml:space="preserve">raille editions current and readily available. A number of private </w:t>
      </w:r>
      <w:r w:rsidR="00E536CD">
        <w:rPr>
          <w:rFonts w:cs="Arial"/>
        </w:rPr>
        <w:t>b</w:t>
      </w:r>
      <w:r w:rsidRPr="00C755DB">
        <w:rPr>
          <w:rFonts w:cs="Arial"/>
        </w:rPr>
        <w:t xml:space="preserve">raille production companies have also been established to augment government-supported efforts. Braille software and hardware products for both the creation of and the use of </w:t>
      </w:r>
      <w:r w:rsidR="00E536CD">
        <w:rPr>
          <w:rFonts w:cs="Arial"/>
        </w:rPr>
        <w:t>b</w:t>
      </w:r>
      <w:r w:rsidRPr="00C755DB">
        <w:rPr>
          <w:rFonts w:cs="Arial"/>
        </w:rPr>
        <w:t>raille materials have become widely available.</w:t>
      </w:r>
    </w:p>
    <w:p w14:paraId="052BD485" w14:textId="355B539B" w:rsidR="003D79E9" w:rsidRPr="00C755DB" w:rsidRDefault="003D79E9" w:rsidP="00C755DB">
      <w:pPr>
        <w:rPr>
          <w:rFonts w:cs="Arial"/>
        </w:rPr>
      </w:pPr>
      <w:r w:rsidRPr="00C755DB">
        <w:rPr>
          <w:rFonts w:cs="Arial"/>
        </w:rPr>
        <w:t xml:space="preserve">For the majority of the past century, the process of creating </w:t>
      </w:r>
      <w:r w:rsidR="00E536CD">
        <w:rPr>
          <w:rFonts w:cs="Arial"/>
        </w:rPr>
        <w:t>b</w:t>
      </w:r>
      <w:r w:rsidRPr="00C755DB">
        <w:rPr>
          <w:rFonts w:cs="Arial"/>
        </w:rPr>
        <w:t xml:space="preserve">raille has been one of retrofitting existing print works into embossed versions. Of necessity this has involved obtaining, storing and transcribing the print versions, re-creating the work in an embossed format, validating and proofing the embossed version, and mailing these versions to the </w:t>
      </w:r>
      <w:r w:rsidR="00E536CD">
        <w:rPr>
          <w:rFonts w:cs="Arial"/>
        </w:rPr>
        <w:t>b</w:t>
      </w:r>
      <w:r w:rsidRPr="00C755DB">
        <w:rPr>
          <w:rFonts w:cs="Arial"/>
        </w:rPr>
        <w:t xml:space="preserve">raille readers who have requested them. In addition to the complexity and time required to complete this process, the ratio of embossed </w:t>
      </w:r>
      <w:r w:rsidR="00E536CD">
        <w:rPr>
          <w:rFonts w:cs="Arial"/>
        </w:rPr>
        <w:t>b</w:t>
      </w:r>
      <w:r w:rsidRPr="00C755DB">
        <w:rPr>
          <w:rFonts w:cs="Arial"/>
        </w:rPr>
        <w:t xml:space="preserve">raille pages to pages of print is approximately 6:1; a 500-page print book would require nearly 3,000 pages of embossed </w:t>
      </w:r>
      <w:r w:rsidR="00E536CD">
        <w:rPr>
          <w:rFonts w:cs="Arial"/>
        </w:rPr>
        <w:t>b</w:t>
      </w:r>
      <w:r w:rsidRPr="00C755DB">
        <w:rPr>
          <w:rFonts w:cs="Arial"/>
        </w:rPr>
        <w:t xml:space="preserve">raille. </w:t>
      </w:r>
    </w:p>
    <w:p w14:paraId="7D84A08B" w14:textId="76F1B744" w:rsidR="003D79E9" w:rsidRPr="00C755DB" w:rsidRDefault="003D79E9" w:rsidP="00C755DB">
      <w:pPr>
        <w:rPr>
          <w:rFonts w:cs="Arial"/>
        </w:rPr>
      </w:pPr>
      <w:r w:rsidRPr="00C755DB">
        <w:rPr>
          <w:rFonts w:cs="Arial"/>
        </w:rPr>
        <w:t xml:space="preserve">During the past three decades, refreshable </w:t>
      </w:r>
      <w:r w:rsidR="00E536CD">
        <w:rPr>
          <w:rFonts w:cs="Arial"/>
        </w:rPr>
        <w:t>b</w:t>
      </w:r>
      <w:r w:rsidRPr="00C755DB">
        <w:rPr>
          <w:rFonts w:cs="Arial"/>
        </w:rPr>
        <w:t>raille displays (RBDs) have evolved to create temporary print-to-</w:t>
      </w:r>
      <w:r w:rsidR="00E536CD">
        <w:rPr>
          <w:rFonts w:cs="Arial"/>
        </w:rPr>
        <w:t>b</w:t>
      </w:r>
      <w:r w:rsidRPr="00C755DB">
        <w:rPr>
          <w:rFonts w:cs="Arial"/>
        </w:rPr>
        <w:t>raille transformations. RBDs receive digital information—</w:t>
      </w:r>
      <w:r w:rsidR="00E536CD">
        <w:rPr>
          <w:rFonts w:cs="Arial"/>
        </w:rPr>
        <w:lastRenderedPageBreak/>
        <w:t>b</w:t>
      </w:r>
      <w:r w:rsidRPr="00C755DB">
        <w:rPr>
          <w:rFonts w:cs="Arial"/>
        </w:rPr>
        <w:t xml:space="preserve">raille-formatted ASCII text, for example—and transform it into </w:t>
      </w:r>
      <w:r w:rsidR="00E536CD">
        <w:rPr>
          <w:rFonts w:cs="Arial"/>
        </w:rPr>
        <w:t>b</w:t>
      </w:r>
      <w:r w:rsidRPr="00C755DB">
        <w:rPr>
          <w:rFonts w:cs="Arial"/>
        </w:rPr>
        <w:t xml:space="preserve">raille </w:t>
      </w:r>
      <w:proofErr w:type="gramStart"/>
      <w:r w:rsidRPr="00C755DB">
        <w:rPr>
          <w:rFonts w:cs="Arial"/>
        </w:rPr>
        <w:t>characters which</w:t>
      </w:r>
      <w:proofErr w:type="gramEnd"/>
      <w:r w:rsidRPr="00C755DB">
        <w:rPr>
          <w:rFonts w:cs="Arial"/>
        </w:rPr>
        <w:t xml:space="preserve"> are then displayed on a flexible membrane via a series of movable pins. RBDs offer considerable improvements over embossed </w:t>
      </w:r>
      <w:r w:rsidR="00E536CD">
        <w:rPr>
          <w:rFonts w:cs="Arial"/>
        </w:rPr>
        <w:t>b</w:t>
      </w:r>
      <w:r w:rsidRPr="00C755DB">
        <w:rPr>
          <w:rFonts w:cs="Arial"/>
        </w:rPr>
        <w:t>raille in their portability and ability to create “</w:t>
      </w:r>
      <w:r w:rsidR="00E536CD">
        <w:rPr>
          <w:rFonts w:cs="Arial"/>
        </w:rPr>
        <w:t>b</w:t>
      </w:r>
      <w:r w:rsidRPr="00C755DB">
        <w:rPr>
          <w:rFonts w:cs="Arial"/>
        </w:rPr>
        <w:t xml:space="preserve">raille on the fly,” but their high cost continues to limit their widespread use. </w:t>
      </w:r>
    </w:p>
    <w:p w14:paraId="640FF778" w14:textId="61A21455" w:rsidR="003D79E9" w:rsidRPr="00C755DB" w:rsidRDefault="003D79E9" w:rsidP="00C755DB">
      <w:pPr>
        <w:rPr>
          <w:rFonts w:cs="Arial"/>
        </w:rPr>
      </w:pPr>
      <w:r w:rsidRPr="00C755DB">
        <w:rPr>
          <w:rFonts w:cs="Arial"/>
        </w:rPr>
        <w:t xml:space="preserve">Regardless of limitations, RBDs highlight the incredible potential of digital media to revolutionize the </w:t>
      </w:r>
      <w:r w:rsidR="00E536CD">
        <w:rPr>
          <w:rFonts w:cs="Arial"/>
        </w:rPr>
        <w:t>b</w:t>
      </w:r>
      <w:r w:rsidRPr="00C755DB">
        <w:rPr>
          <w:rFonts w:cs="Arial"/>
        </w:rPr>
        <w:t xml:space="preserve">raille creation process. As more curriculum publishers adopt a digital workflow—creating digital source files at the beginning of the production process rather than at its end—the potential of creating </w:t>
      </w:r>
      <w:r w:rsidR="00E536CD">
        <w:rPr>
          <w:rFonts w:cs="Arial"/>
        </w:rPr>
        <w:t>b</w:t>
      </w:r>
      <w:r w:rsidRPr="00C755DB">
        <w:rPr>
          <w:rFonts w:cs="Arial"/>
        </w:rPr>
        <w:t xml:space="preserve">raille-ready digital versions without having to retrofit existing print works becomes technologically feasible. This possibility, with its attendant elimination of the inefficiencies and inaccuracies associated with the creation of </w:t>
      </w:r>
      <w:r w:rsidR="00E536CD">
        <w:rPr>
          <w:rFonts w:cs="Arial"/>
        </w:rPr>
        <w:t>b</w:t>
      </w:r>
      <w:r w:rsidRPr="00C755DB">
        <w:rPr>
          <w:rFonts w:cs="Arial"/>
        </w:rPr>
        <w:t xml:space="preserve">raille as an afterthought in the book production process, provides the foundation for the National Instructional Materials Accessibility Standard (NIMAS) detailed in section 6 below. </w:t>
      </w:r>
    </w:p>
    <w:p w14:paraId="1191EB02" w14:textId="77777777" w:rsidR="00C755DB" w:rsidRPr="00542C20" w:rsidRDefault="003D79E9" w:rsidP="00542C20">
      <w:pPr>
        <w:pStyle w:val="Heading4"/>
      </w:pPr>
      <w:r w:rsidRPr="00542C20">
        <w:t>Audio</w:t>
      </w:r>
    </w:p>
    <w:p w14:paraId="5395A3EA" w14:textId="25F15E3B" w:rsidR="003D79E9" w:rsidRPr="00C755DB" w:rsidRDefault="003D79E9" w:rsidP="00C755DB">
      <w:pPr>
        <w:rPr>
          <w:rFonts w:cs="Arial"/>
        </w:rPr>
      </w:pPr>
      <w:r w:rsidRPr="00C755DB">
        <w:rPr>
          <w:rFonts w:cs="Arial"/>
        </w:rPr>
        <w:t>In the early 1930’s the American Foundation for the Blind (AFB) and its collaborating research partners pioneered the “Talking Book.” Originally created on acetate and vinyl records, this new audio format provided print disabled users with recorded human narration and some rudimentary navigation, and it quickly became popular. This new format steadily evolved into four-track cassettes, and, for the past thirty years, has been the primary format of both NLS and Recording for the Blind and Dyslexic.</w:t>
      </w:r>
      <w:r w:rsidRPr="00C755DB">
        <w:rPr>
          <w:rFonts w:cs="Arial"/>
          <w:vertAlign w:val="superscript"/>
        </w:rPr>
        <w:footnoteReference w:id="6"/>
      </w:r>
    </w:p>
    <w:p w14:paraId="2EBE225F" w14:textId="7E784299" w:rsidR="003D79E9" w:rsidRPr="00C755DB" w:rsidRDefault="003D79E9" w:rsidP="00C755DB">
      <w:pPr>
        <w:rPr>
          <w:rFonts w:cs="Arial"/>
        </w:rPr>
      </w:pPr>
      <w:r w:rsidRPr="00C755DB">
        <w:rPr>
          <w:rFonts w:cs="Arial"/>
        </w:rPr>
        <w:t xml:space="preserve">Concurrent with the development of digital source files as the preferred medium for the efficient creation of </w:t>
      </w:r>
      <w:proofErr w:type="gramStart"/>
      <w:r w:rsidR="00E536CD">
        <w:rPr>
          <w:rFonts w:cs="Arial"/>
        </w:rPr>
        <w:t>b</w:t>
      </w:r>
      <w:r w:rsidRPr="00C755DB">
        <w:rPr>
          <w:rFonts w:cs="Arial"/>
        </w:rPr>
        <w:t>raille,</w:t>
      </w:r>
      <w:proofErr w:type="gramEnd"/>
      <w:r w:rsidRPr="00C755DB">
        <w:rPr>
          <w:rFonts w:cs="Arial"/>
        </w:rPr>
        <w:t xml:space="preserve"> digital versions of audio books have also evolved. Research and development during the past fifteen years led to the approval of the “Digital Talking Book” standard by National Information Standards Organization (NISO) and the American National Standards Institute (ANSI) as ANSI/NISO Z39.86-2002. Synonymous with “DAISY 3”, a “Digital Audio-Based Information System” format developed by the international DAISY Consortium, this ANSI/NISO standard provide the foundation elements of the National Instructional Materials Accessibility Standard (NIMAS). Regardless of which “flavor” of the standard is applied, Digital Talking Books hold enormous potential. This format supports recorded human audio either as a stand-alone medium or synchronized to onscreen text, extensive navigation, support for additional media (images, charts and graphs, even video), and, by design, well-formatted </w:t>
      </w:r>
      <w:r w:rsidR="00E536CD">
        <w:rPr>
          <w:rFonts w:cs="Arial"/>
        </w:rPr>
        <w:t>b</w:t>
      </w:r>
      <w:r w:rsidRPr="00C755DB">
        <w:rPr>
          <w:rFonts w:cs="Arial"/>
        </w:rPr>
        <w:t>raille.</w:t>
      </w:r>
    </w:p>
    <w:p w14:paraId="4F397299" w14:textId="77777777" w:rsidR="003D79E9" w:rsidRPr="00C755DB" w:rsidRDefault="003D79E9" w:rsidP="00C755DB">
      <w:pPr>
        <w:rPr>
          <w:rFonts w:cs="Arial"/>
        </w:rPr>
      </w:pPr>
      <w:r w:rsidRPr="00C755DB">
        <w:rPr>
          <w:rFonts w:cs="Arial"/>
        </w:rPr>
        <w:lastRenderedPageBreak/>
        <w:t xml:space="preserve">While these broad-based initiatives have been evolving at the national and international levels, special educators, assistive technology vendors and students have also capitalized on </w:t>
      </w:r>
      <w:proofErr w:type="gramStart"/>
      <w:r w:rsidRPr="00C755DB">
        <w:rPr>
          <w:rFonts w:cs="Arial"/>
        </w:rPr>
        <w:t>readily-available</w:t>
      </w:r>
      <w:proofErr w:type="gramEnd"/>
      <w:r w:rsidRPr="00C755DB">
        <w:rPr>
          <w:rFonts w:cs="Arial"/>
        </w:rPr>
        <w:t xml:space="preserve"> and cost-effective digital solutions. The use of text in electronic formats (e-text) by students with disabilities has increased exponentially in the past ten years, and students with visual, learning, and </w:t>
      </w:r>
      <w:proofErr w:type="spellStart"/>
      <w:r w:rsidRPr="00C755DB">
        <w:rPr>
          <w:rFonts w:cs="Arial"/>
        </w:rPr>
        <w:t>attentional</w:t>
      </w:r>
      <w:proofErr w:type="spellEnd"/>
      <w:r w:rsidRPr="00C755DB">
        <w:rPr>
          <w:rFonts w:cs="Arial"/>
        </w:rPr>
        <w:t xml:space="preserve"> disabilities have experienced enormous benefits from the flexibility these formats have offered. Students with visual impairments may use screen readers such as JAWS or </w:t>
      </w:r>
      <w:proofErr w:type="spellStart"/>
      <w:r w:rsidRPr="00C755DB">
        <w:rPr>
          <w:rFonts w:cs="Arial"/>
        </w:rPr>
        <w:t>WindowEyes</w:t>
      </w:r>
      <w:proofErr w:type="spellEnd"/>
      <w:r w:rsidRPr="00C755DB">
        <w:rPr>
          <w:rFonts w:cs="Arial"/>
        </w:rPr>
        <w:t xml:space="preserve"> to have any onscreen text spoken aloud, while students who do not need to have the entire computer interface read aloud may use supported readers like WYNN, </w:t>
      </w:r>
      <w:proofErr w:type="spellStart"/>
      <w:r w:rsidRPr="00C755DB">
        <w:rPr>
          <w:rFonts w:cs="Arial"/>
        </w:rPr>
        <w:t>Kurzweil</w:t>
      </w:r>
      <w:proofErr w:type="spellEnd"/>
      <w:r w:rsidRPr="00C755DB">
        <w:rPr>
          <w:rFonts w:cs="Arial"/>
        </w:rPr>
        <w:t xml:space="preserve">, </w:t>
      </w:r>
      <w:proofErr w:type="spellStart"/>
      <w:r w:rsidRPr="00C755DB">
        <w:rPr>
          <w:rFonts w:cs="Arial"/>
        </w:rPr>
        <w:t>Read&amp;Write</w:t>
      </w:r>
      <w:proofErr w:type="spellEnd"/>
      <w:r w:rsidRPr="00C755DB">
        <w:rPr>
          <w:rFonts w:cs="Arial"/>
        </w:rPr>
        <w:t xml:space="preserve"> GOLD, and </w:t>
      </w:r>
      <w:proofErr w:type="spellStart"/>
      <w:r w:rsidRPr="00C755DB">
        <w:rPr>
          <w:rFonts w:cs="Arial"/>
        </w:rPr>
        <w:t>ReadPlease</w:t>
      </w:r>
      <w:proofErr w:type="spellEnd"/>
      <w:r w:rsidRPr="00C755DB">
        <w:rPr>
          <w:rFonts w:cs="Arial"/>
        </w:rPr>
        <w:t xml:space="preserve"> to have text spoken aloud by synthetic speech. The majority of these assistive technologies will </w:t>
      </w:r>
      <w:proofErr w:type="spellStart"/>
      <w:r w:rsidRPr="00C755DB">
        <w:rPr>
          <w:rFonts w:cs="Arial"/>
        </w:rPr>
        <w:t>auditorize</w:t>
      </w:r>
      <w:proofErr w:type="spellEnd"/>
      <w:r w:rsidRPr="00C755DB">
        <w:rPr>
          <w:rFonts w:cs="Arial"/>
        </w:rPr>
        <w:t xml:space="preserve"> files created in Microsoft Word, RTF, ASCII, or HTML, yielding a high degree of flexibility. Many of these software applications have been expanded to accommodate Digital Talking Book (DAISY) formats as well.</w:t>
      </w:r>
    </w:p>
    <w:p w14:paraId="6340A4FA" w14:textId="77777777" w:rsidR="00C755DB" w:rsidRPr="00542C20" w:rsidRDefault="003D79E9" w:rsidP="00542C20">
      <w:pPr>
        <w:pStyle w:val="Heading4"/>
      </w:pPr>
      <w:r w:rsidRPr="00542C20">
        <w:t xml:space="preserve">Large Print </w:t>
      </w:r>
    </w:p>
    <w:p w14:paraId="69EE3A7C" w14:textId="669FD281" w:rsidR="003D79E9" w:rsidRPr="00C755DB" w:rsidRDefault="003D79E9" w:rsidP="00C755DB">
      <w:pPr>
        <w:rPr>
          <w:rFonts w:cs="Arial"/>
        </w:rPr>
      </w:pPr>
      <w:r w:rsidRPr="00C755DB">
        <w:rPr>
          <w:rFonts w:cs="Arial"/>
        </w:rPr>
        <w:t xml:space="preserve">Many of the libraries and production houses that produce or distribute </w:t>
      </w:r>
      <w:r w:rsidR="00E536CD">
        <w:rPr>
          <w:rFonts w:cs="Arial"/>
        </w:rPr>
        <w:t>b</w:t>
      </w:r>
      <w:r w:rsidRPr="00C755DB">
        <w:rPr>
          <w:rFonts w:cs="Arial"/>
        </w:rPr>
        <w:t xml:space="preserve">raille and Talking Books also produce large print books. The National Library Service maintains a listing of large print production and distribution facilities in the United States. The use of large print materials, while fairly common among older adults with vision loss, is less common in schools. The American Printing House for the Blind does produce large print textbooks, and a number of commercial publishers routinely produce large print versions for sale, although the use of these materials in the nation’s classrooms is limited. </w:t>
      </w:r>
    </w:p>
    <w:p w14:paraId="115240AD" w14:textId="77777777" w:rsidR="00C755DB" w:rsidRPr="00542C20" w:rsidRDefault="003D79E9" w:rsidP="00542C20">
      <w:pPr>
        <w:pStyle w:val="Heading4"/>
      </w:pPr>
      <w:proofErr w:type="gramStart"/>
      <w:r w:rsidRPr="00542C20">
        <w:t>e</w:t>
      </w:r>
      <w:proofErr w:type="gramEnd"/>
      <w:r w:rsidRPr="00542C20">
        <w:t xml:space="preserve">-text </w:t>
      </w:r>
    </w:p>
    <w:p w14:paraId="73469E41" w14:textId="1C5B807F" w:rsidR="003D79E9" w:rsidRPr="00C755DB" w:rsidRDefault="003D79E9" w:rsidP="00C755DB">
      <w:pPr>
        <w:rPr>
          <w:rFonts w:cs="Arial"/>
        </w:rPr>
      </w:pPr>
      <w:r w:rsidRPr="00C755DB">
        <w:rPr>
          <w:rFonts w:cs="Arial"/>
        </w:rPr>
        <w:t xml:space="preserve">As summarized previously, the use of e-text as a primary alternate format in today’s classrooms has expanded exponentially in during the past fifteen years. With the exception of </w:t>
      </w:r>
      <w:r w:rsidR="00E536CD">
        <w:rPr>
          <w:rFonts w:cs="Arial"/>
        </w:rPr>
        <w:t>b</w:t>
      </w:r>
      <w:r w:rsidRPr="00C755DB">
        <w:rPr>
          <w:rFonts w:cs="Arial"/>
        </w:rPr>
        <w:t xml:space="preserve">raille, e-text formats such as Word, RTF, ASCII, and HTML can provide each of the accommodations that are singly offered by audio-only and large print. </w:t>
      </w:r>
      <w:proofErr w:type="gramStart"/>
      <w:r w:rsidRPr="00C755DB">
        <w:rPr>
          <w:rFonts w:cs="Arial"/>
        </w:rPr>
        <w:t>e</w:t>
      </w:r>
      <w:proofErr w:type="gramEnd"/>
      <w:r w:rsidRPr="00C755DB">
        <w:rPr>
          <w:rFonts w:cs="Arial"/>
        </w:rPr>
        <w:t xml:space="preserve">-text can be highlighted and read aloud by synthetic speech on almost any computer. While the tonal quality of computer-generated speech is not as good as recorded human voice, it is far more flexible, and continuing research in this area has resulted in increasingly high quality pronunciation. </w:t>
      </w:r>
      <w:proofErr w:type="gramStart"/>
      <w:r w:rsidRPr="00C755DB">
        <w:rPr>
          <w:rFonts w:cs="Arial"/>
        </w:rPr>
        <w:t>e</w:t>
      </w:r>
      <w:proofErr w:type="gramEnd"/>
      <w:r w:rsidRPr="00C755DB">
        <w:rPr>
          <w:rFonts w:cs="Arial"/>
        </w:rPr>
        <w:t xml:space="preserve">-text can be instantly increased in size, preferential color schemes can be applied, and letters, words, phrases, sentences, paragraphs, and sections can be sequentially highlighted as the text is read aloud. </w:t>
      </w:r>
    </w:p>
    <w:p w14:paraId="77322370" w14:textId="77777777" w:rsidR="003D79E9" w:rsidRPr="00C755DB" w:rsidRDefault="003D79E9" w:rsidP="00C755DB">
      <w:pPr>
        <w:rPr>
          <w:rFonts w:cs="Arial"/>
        </w:rPr>
      </w:pPr>
      <w:r w:rsidRPr="00C755DB">
        <w:rPr>
          <w:rFonts w:cs="Arial"/>
        </w:rPr>
        <w:t xml:space="preserve">In the past fifteen years, the cost of desktop computer technology has steadily decreased while its capabilities have steadily increased. Digital scanning equipment and software, required </w:t>
      </w:r>
      <w:proofErr w:type="gramStart"/>
      <w:r w:rsidRPr="00C755DB">
        <w:rPr>
          <w:rFonts w:cs="Arial"/>
        </w:rPr>
        <w:t>to transform</w:t>
      </w:r>
      <w:proofErr w:type="gramEnd"/>
      <w:r w:rsidRPr="00C755DB">
        <w:rPr>
          <w:rFonts w:cs="Arial"/>
        </w:rPr>
        <w:t xml:space="preserve"> print into digital text, used to cost thousands; today it </w:t>
      </w:r>
      <w:r w:rsidRPr="00C755DB">
        <w:rPr>
          <w:rFonts w:cs="Arial"/>
        </w:rPr>
        <w:lastRenderedPageBreak/>
        <w:t>costs hundreds. Once a rarity, this technology is not uncommon in schools, and it provides educators will the ability to themselves transform inaccessible print works into accessible digital formats. Faced with the mandates of federal special education and civil rights laws, special educators have turned to this solution.</w:t>
      </w:r>
    </w:p>
    <w:p w14:paraId="59867B65" w14:textId="77777777" w:rsidR="003D79E9" w:rsidRPr="00387AC4" w:rsidRDefault="003D79E9" w:rsidP="00C755DB">
      <w:r w:rsidRPr="00C755DB">
        <w:rPr>
          <w:rFonts w:cs="Arial"/>
        </w:rPr>
        <w:t>While this approach to providing accessible versions of print curriculum materials is pragmatic and effective, it also diverts the available educational resources to product retrofitting and file format production—neither of which is an efficient use of instructional resources. These local solutions also result in materials of varying quality and usability, and often end up meeting the needs of an individual student, with no potential of scalability. Clearly, the acknowledged efficiencies offered by digital tools and formats need to be combined with a national agenda in order to eliminate redundancies and allow educators to return to the task of instruction.</w:t>
      </w:r>
    </w:p>
    <w:p w14:paraId="1738A756" w14:textId="77777777" w:rsidR="003D79E9" w:rsidRPr="00387AC4" w:rsidRDefault="003D79E9" w:rsidP="00542C20">
      <w:pPr>
        <w:pStyle w:val="Heading2"/>
      </w:pPr>
      <w:r w:rsidRPr="00387AC4">
        <w:t xml:space="preserve">Copyright Law and Efforts to Increase Widespread Availability </w:t>
      </w:r>
    </w:p>
    <w:p w14:paraId="73785951" w14:textId="77777777" w:rsidR="003D79E9" w:rsidRPr="00387AC4" w:rsidRDefault="003D79E9" w:rsidP="00C755DB">
      <w:r w:rsidRPr="00387AC4">
        <w:t>As part of the 1966 revisions to the Copyright Act, Section 121</w:t>
      </w:r>
      <w:r>
        <w:t>—</w:t>
      </w:r>
      <w:r w:rsidRPr="00387AC4">
        <w:t>known as the “Chafee Amendment”</w:t>
      </w:r>
      <w:r>
        <w:t>—</w:t>
      </w:r>
      <w:r w:rsidRPr="00387AC4">
        <w:t xml:space="preserve">was enacted to allow alternate format creation by </w:t>
      </w:r>
      <w:r>
        <w:t>“</w:t>
      </w:r>
      <w:r w:rsidRPr="00387AC4">
        <w:t>a nonprofit organization or governmental agency that has a primary mission to provide specialized services relating to training, education, or adaptive reading or information access needs of blind or other persons with disabilities</w:t>
      </w:r>
      <w:r>
        <w:t>”</w:t>
      </w:r>
      <w:r w:rsidRPr="007B0F4E">
        <w:rPr>
          <w:vertAlign w:val="superscript"/>
        </w:rPr>
        <w:footnoteReference w:id="7"/>
      </w:r>
      <w:r>
        <w:t>,</w:t>
      </w:r>
      <w:r w:rsidRPr="00387AC4">
        <w:t xml:space="preserve"> without seeking permission from the copyright holder. The purpose of the Chafee Amendment was to institutionalize a process by which these specialized organizations could provide alternate format materials and to clarify the ambiguities inherent in existing “Fair Use” requirements.</w:t>
      </w:r>
      <w:r w:rsidRPr="007B0F4E">
        <w:rPr>
          <w:vertAlign w:val="superscript"/>
        </w:rPr>
        <w:footnoteReference w:id="8"/>
      </w:r>
      <w:r w:rsidRPr="00387AC4">
        <w:t xml:space="preserve"> The Chafee exemption was designed to expedite the creation and availability of accessible versions of selected print works (“non-dramatic literary works”) in “specialized” formats to “qualified” individuals. </w:t>
      </w:r>
    </w:p>
    <w:p w14:paraId="6B0778C7" w14:textId="77777777" w:rsidR="003D79E9" w:rsidRPr="00387AC4" w:rsidRDefault="003D79E9" w:rsidP="00C755DB">
      <w:r w:rsidRPr="00387AC4">
        <w:t>While this exemption has significantly facilitated the capacity of educational institutions, both K</w:t>
      </w:r>
      <w:r>
        <w:t>–</w:t>
      </w:r>
      <w:r w:rsidRPr="00387AC4">
        <w:t xml:space="preserve">12 and postsecondary, to meet the needs of students with disabilities, its requirements have also emerged as ambiguous. As a consequence, many education </w:t>
      </w:r>
      <w:r w:rsidRPr="00387AC4">
        <w:lastRenderedPageBreak/>
        <w:t xml:space="preserve">personnel who provide services to students with disabilities have come to assume that any “special” educator or disability support specialist may obtain or create an accessible version in any format for any disabled student struggling with access to print. Discrepancies in the interpretation of Chafee constraints are not limited to educators, however, since even widely </w:t>
      </w:r>
      <w:proofErr w:type="gramStart"/>
      <w:r w:rsidRPr="00387AC4">
        <w:t>acknowledged</w:t>
      </w:r>
      <w:proofErr w:type="gramEnd"/>
      <w:r w:rsidRPr="00387AC4">
        <w:t xml:space="preserve"> “authorized entities” such as Recording for the Blind and Dyslexic and the National Library Service for the Blind apply differing interpretations. </w:t>
      </w:r>
    </w:p>
    <w:p w14:paraId="18B149FB" w14:textId="77777777" w:rsidR="003D79E9" w:rsidRPr="00387AC4" w:rsidRDefault="003D79E9" w:rsidP="00C755DB">
      <w:r w:rsidRPr="00387AC4">
        <w:t>Regardless of whether the Chafee exemption is interpreted narrowly or broadly, its enactment set a precedent in its affirmation of the right of “print disabled” individuals to be provided timely access to the same information as is available to their non-disabled peers, and, pursuant to Section 504 of the Rehabilitation Act, that access should be provided in a format most appropriate to their needs</w:t>
      </w:r>
      <w:r w:rsidRPr="007B0F4E">
        <w:rPr>
          <w:vertAlign w:val="superscript"/>
        </w:rPr>
        <w:footnoteReference w:id="9"/>
      </w:r>
      <w:r w:rsidRPr="00387AC4">
        <w:t xml:space="preserve">. The fact that some students with Learning Disabilities may not qualify under existing Chafee guidelines, or that students with </w:t>
      </w:r>
      <w:proofErr w:type="spellStart"/>
      <w:r w:rsidRPr="00387AC4">
        <w:t>attentional</w:t>
      </w:r>
      <w:proofErr w:type="spellEnd"/>
      <w:r w:rsidRPr="00387AC4">
        <w:t xml:space="preserve">, cognitive or hearing disabilities are, in fact, excluded collides with the “Access, Participation and Progress” requirements of IDEA and the “Equal Access” requirements of the Rehabilitation Act and the ADA. </w:t>
      </w:r>
      <w:r>
        <w:t>I</w:t>
      </w:r>
      <w:r w:rsidRPr="00387AC4">
        <w:t xml:space="preserve">t is precisely this collision that has motivated educators and disability service providers to err on the side of civil rights legislation and federal special education law when determining which students receive accessible materials and when. </w:t>
      </w:r>
    </w:p>
    <w:p w14:paraId="312548EA" w14:textId="77777777" w:rsidR="003D79E9" w:rsidRPr="00387AC4" w:rsidRDefault="003D79E9" w:rsidP="00C755DB">
      <w:r w:rsidRPr="00387AC4">
        <w:t>In the long run, the current Chafee exemption provides an inadequate foundation for the large</w:t>
      </w:r>
      <w:r>
        <w:t>-</w:t>
      </w:r>
      <w:r w:rsidRPr="00387AC4">
        <w:t>scale provision of alternate</w:t>
      </w:r>
      <w:r>
        <w:t>-</w:t>
      </w:r>
      <w:r w:rsidRPr="00387AC4">
        <w:t xml:space="preserve">format materials for students with print disabilities, simply because it was designed to meet the needs of a small subset of individuals on a case-by-case basis. In order to address the ever-increasing national demand for accessible instructional materials while simultaneously maintaining compliance with intellectual property law, new enterprise-level solutions need to be created. </w:t>
      </w:r>
    </w:p>
    <w:p w14:paraId="7E6AF9F8" w14:textId="166CA3E7" w:rsidR="003D79E9" w:rsidRPr="00387AC4" w:rsidRDefault="003D79E9" w:rsidP="00C755DB">
      <w:r w:rsidRPr="00387AC4">
        <w:t>At the time</w:t>
      </w:r>
      <w:r>
        <w:t xml:space="preserve"> of this writing</w:t>
      </w:r>
      <w:r w:rsidRPr="00387AC4">
        <w:t>, thirty-one states ha</w:t>
      </w:r>
      <w:r>
        <w:t>d</w:t>
      </w:r>
      <w:r w:rsidRPr="00387AC4">
        <w:t xml:space="preserve"> alternate format requirements specifically relating to the provision of files for the creation of </w:t>
      </w:r>
      <w:r w:rsidR="00E536CD">
        <w:t>b</w:t>
      </w:r>
      <w:r w:rsidRPr="00387AC4">
        <w:t>raille versions of print textbooks (AFB, 2003). In addition, a smaller but expanding number of states (Arizona, California, Georgia, Kentucky, New Mexico, and New York) either require</w:t>
      </w:r>
      <w:r>
        <w:t>d</w:t>
      </w:r>
      <w:r w:rsidRPr="00387AC4">
        <w:t xml:space="preserve"> publishers to provide accessible versions of textbooks, require</w:t>
      </w:r>
      <w:r>
        <w:t>d</w:t>
      </w:r>
      <w:r w:rsidRPr="00387AC4">
        <w:t xml:space="preserve"> publishers to provide digital versions, or g</w:t>
      </w:r>
      <w:r>
        <w:t>a</w:t>
      </w:r>
      <w:r w:rsidRPr="00387AC4">
        <w:t>ve preference to publishers who provide accessible versions (Perl</w:t>
      </w:r>
      <w:r>
        <w:t xml:space="preserve"> et al</w:t>
      </w:r>
      <w:r w:rsidRPr="00387AC4">
        <w:t xml:space="preserve">., 2003). </w:t>
      </w:r>
      <w:r>
        <w:t xml:space="preserve">For </w:t>
      </w:r>
      <w:r>
        <w:lastRenderedPageBreak/>
        <w:t>cur</w:t>
      </w:r>
      <w:r w:rsidR="00E054A0">
        <w:t>r</w:t>
      </w:r>
      <w:r>
        <w:t>ent state requirements relating to the provision of accessible instructional materials, see the</w:t>
      </w:r>
      <w:r w:rsidR="00E054A0">
        <w:t xml:space="preserve"> aem.cast.org</w:t>
      </w:r>
      <w:r>
        <w:t xml:space="preserve"> website.</w:t>
      </w:r>
    </w:p>
    <w:p w14:paraId="69048B70" w14:textId="60D8874E" w:rsidR="003D79E9" w:rsidRPr="00387AC4" w:rsidRDefault="003D79E9" w:rsidP="00C755DB">
      <w:r w:rsidRPr="00387AC4">
        <w:t xml:space="preserve">While </w:t>
      </w:r>
      <w:r w:rsidR="00E536CD">
        <w:t>b</w:t>
      </w:r>
      <w:r w:rsidRPr="00387AC4">
        <w:t>raille laws are longstanding</w:t>
      </w:r>
      <w:r>
        <w:t>,</w:t>
      </w:r>
      <w:r w:rsidRPr="00387AC4">
        <w:t xml:space="preserve"> the expanded state legislation requiring accessible or digital versions of textbooks for a broader category of “print disabled” students has been enacted in the past </w:t>
      </w:r>
      <w:r>
        <w:t>twelve</w:t>
      </w:r>
      <w:r w:rsidRPr="00387AC4">
        <w:t xml:space="preserve"> years, primarily as the result of a Section 121 copyright exemption, the Chafee Amendment.</w:t>
      </w:r>
    </w:p>
    <w:p w14:paraId="6E663AB3" w14:textId="6DCBAE3C" w:rsidR="003D79E9" w:rsidRPr="00387AC4" w:rsidRDefault="003D79E9" w:rsidP="00C755DB">
      <w:r w:rsidRPr="00387AC4">
        <w:t xml:space="preserve">The Chafee Amendment </w:t>
      </w:r>
      <w:r>
        <w:t xml:space="preserve">enlisted </w:t>
      </w:r>
      <w:r w:rsidRPr="00387AC4">
        <w:t xml:space="preserve">“authorized entities” to provide </w:t>
      </w:r>
      <w:r>
        <w:t xml:space="preserve">permission to </w:t>
      </w:r>
      <w:r w:rsidRPr="00387AC4">
        <w:t>“blind or other persons with disabilities” with accessible versions of print materials in “specialized formats</w:t>
      </w:r>
      <w:r w:rsidR="00E054A0">
        <w:t>.</w:t>
      </w:r>
      <w:r w:rsidRPr="00387AC4">
        <w:t xml:space="preserve">” Originally intended as a means of providing print disabled individuals with accessible versions, Chafee has come to be used by special education personnel in schools, and content transformation organizations (Recording for the Blind and Dyslexic, </w:t>
      </w:r>
      <w:proofErr w:type="spellStart"/>
      <w:r w:rsidRPr="00387AC4">
        <w:t>BookShare</w:t>
      </w:r>
      <w:proofErr w:type="spellEnd"/>
      <w:r w:rsidRPr="00387AC4">
        <w:t xml:space="preserve">, etc.) as the basis for the large-scale creation and distribution of accessible textbooks, without compensation to either publishers or rights holders. This widespread application of Chafee has generated considerable concern among publishers and copyright holders (Adler, 2002), some of </w:t>
      </w:r>
      <w:proofErr w:type="gramStart"/>
      <w:r w:rsidRPr="00387AC4">
        <w:t>whom</w:t>
      </w:r>
      <w:proofErr w:type="gramEnd"/>
      <w:r w:rsidRPr="00387AC4">
        <w:t xml:space="preserve"> believe that many current initiatives e</w:t>
      </w:r>
      <w:r>
        <w:t>xceed the Chafee restrictions.</w:t>
      </w:r>
    </w:p>
    <w:p w14:paraId="62E6DE42" w14:textId="1C61D2DA" w:rsidR="003D79E9" w:rsidRPr="00387AC4" w:rsidRDefault="003D79E9" w:rsidP="00C755DB">
      <w:r w:rsidRPr="00387AC4">
        <w:t xml:space="preserve">The </w:t>
      </w:r>
      <w:r>
        <w:t>past</w:t>
      </w:r>
      <w:r w:rsidRPr="00387AC4">
        <w:t xml:space="preserve"> system of creating and distributing alternate format instructional materials to print-disabled students </w:t>
      </w:r>
      <w:r>
        <w:t>ha</w:t>
      </w:r>
      <w:r w:rsidRPr="00387AC4">
        <w:t>s</w:t>
      </w:r>
      <w:r>
        <w:t xml:space="preserve"> been</w:t>
      </w:r>
      <w:r w:rsidRPr="00387AC4">
        <w:t xml:space="preserve"> a patchwork of national and local efforts. Conversion entities and repositories </w:t>
      </w:r>
      <w:proofErr w:type="gramStart"/>
      <w:r w:rsidRPr="00387AC4">
        <w:t>who</w:t>
      </w:r>
      <w:proofErr w:type="gramEnd"/>
      <w:r w:rsidRPr="00387AC4">
        <w:t xml:space="preserve"> perceive themselves to be “Chafee-compliant” offer a range of alternate formats. Recording for the Blind and Dyslexic produces audio versions, </w:t>
      </w:r>
      <w:proofErr w:type="spellStart"/>
      <w:r w:rsidRPr="00387AC4">
        <w:t>BookShare</w:t>
      </w:r>
      <w:proofErr w:type="spellEnd"/>
      <w:r w:rsidRPr="00387AC4">
        <w:t xml:space="preserve"> produces digital text versions in the Digital Talking Book format, American Printing House for the Blind produces both embossed and electronic </w:t>
      </w:r>
      <w:r w:rsidR="00E536CD">
        <w:t>b</w:t>
      </w:r>
      <w:r w:rsidRPr="00387AC4">
        <w:t xml:space="preserve">raille, and large print, American Foundation for the Blind produces Digital Talking Books, the National Library Service for the Blind produces Digital Talking Books and </w:t>
      </w:r>
      <w:r w:rsidR="00E536CD">
        <w:t>b</w:t>
      </w:r>
      <w:r w:rsidRPr="00387AC4">
        <w:t xml:space="preserve">raille. For-profit commercial entities such as Duxbury Braille Systems and others also contribute their expertise to the other providers or directly to states and districts. Finally, with the advent of cost-effective and efficient digital scanning technology, local districts and schools have significantly increased their capacities to digitize books directly into more accessible digital formats. </w:t>
      </w:r>
    </w:p>
    <w:p w14:paraId="4DE98648" w14:textId="77777777" w:rsidR="003D79E9" w:rsidRPr="00387AC4" w:rsidRDefault="003D79E9" w:rsidP="00C755DB">
      <w:r w:rsidRPr="00387AC4">
        <w:t>While this array of efforts reflects both the importance of alternate</w:t>
      </w:r>
      <w:r>
        <w:t>-</w:t>
      </w:r>
      <w:r w:rsidRPr="00387AC4">
        <w:t>format materials and the deep commitment of alternate format providers, it is also rife with redundancy, inefficiency</w:t>
      </w:r>
      <w:r>
        <w:t>,</w:t>
      </w:r>
      <w:r w:rsidRPr="00387AC4">
        <w:t xml:space="preserve"> and inaccuracy. The</w:t>
      </w:r>
      <w:r>
        <w:t>se</w:t>
      </w:r>
      <w:r w:rsidRPr="00387AC4">
        <w:t xml:space="preserve"> options for acquiring alternate formats also results in the creation of materials that vary widely in quality, and perpetuates a process of localized and highly “disability-specific” solutions where efforts to support one sub-group of students with disabilities often do little to support the needs of the other groups. </w:t>
      </w:r>
    </w:p>
    <w:p w14:paraId="12D15F1C" w14:textId="6FE2A419" w:rsidR="003D79E9" w:rsidRPr="00387AC4" w:rsidRDefault="003D79E9" w:rsidP="00542C20">
      <w:pPr>
        <w:pStyle w:val="Heading2"/>
      </w:pPr>
      <w:r w:rsidRPr="00387AC4">
        <w:lastRenderedPageBreak/>
        <w:t>Working Toward a National Approach</w:t>
      </w:r>
    </w:p>
    <w:p w14:paraId="053A7EAE" w14:textId="64BE480B" w:rsidR="003D79E9" w:rsidRPr="00387AC4" w:rsidRDefault="003D79E9" w:rsidP="00C755DB">
      <w:r w:rsidRPr="00387AC4">
        <w:t>On July 27, 2004</w:t>
      </w:r>
      <w:r>
        <w:t>,</w:t>
      </w:r>
      <w:r w:rsidRPr="00387AC4">
        <w:t xml:space="preserve"> the United States Department of Education officially endorsed the National Instructional Materials Accessibility Standard (NIMAS). This voluntary file format reflects the consensus of disability advocacy groups, publishers, technology experts, and production and distribution experts. Version 1.0 of NIMAS details the baseline technological specifications for the creation of valid digital source files of pre</w:t>
      </w:r>
      <w:r>
        <w:t>-</w:t>
      </w:r>
      <w:r w:rsidRPr="00387AC4">
        <w:t>K</w:t>
      </w:r>
      <w:r>
        <w:t>–</w:t>
      </w:r>
      <w:r w:rsidRPr="00387AC4">
        <w:t>12 textbooks and related instructional materials. NIMAS Version 1.0 is sufficiently flexible to create multiple student-ready versions (Contracted Braille, Digital Talking Book, etc.) from the same publisher-provided source file package, eliminating the need for repetitious and inefficient transformations (print-to-</w:t>
      </w:r>
      <w:r w:rsidR="00E536CD">
        <w:t>b</w:t>
      </w:r>
      <w:r w:rsidRPr="00387AC4">
        <w:t>raille; print-to-</w:t>
      </w:r>
      <w:proofErr w:type="spellStart"/>
      <w:r w:rsidRPr="00387AC4">
        <w:t>ebook</w:t>
      </w:r>
      <w:proofErr w:type="spellEnd"/>
      <w:r w:rsidRPr="00387AC4">
        <w:t xml:space="preserve">, etc.). The </w:t>
      </w:r>
      <w:r>
        <w:t>S</w:t>
      </w:r>
      <w:r w:rsidRPr="00387AC4">
        <w:t xml:space="preserve">tandard codifies the minimum requirements for a subset of students with disabilities, particularly those with blindness/low vision and other print disabilities. </w:t>
      </w:r>
    </w:p>
    <w:p w14:paraId="301A93F5" w14:textId="0FB04F81" w:rsidR="003D79E9" w:rsidRPr="00387AC4" w:rsidRDefault="003D79E9" w:rsidP="00C755DB">
      <w:r w:rsidRPr="00387AC4">
        <w:t xml:space="preserve">NIMAS marks a major step toward ensuing that the ubiquitous textbook will be within reach of students with disabilities at the critical point of instruction in an accessible and usable form. NIMAS will therefore serve the needs of states and local authorities as they endeavor to provide students with disabilities with the opportunity to learn, a prerequisite for participation in standards-based reform and accountability. </w:t>
      </w:r>
      <w:proofErr w:type="gramStart"/>
      <w:r w:rsidRPr="00387AC4">
        <w:t>(Elmore</w:t>
      </w:r>
      <w:r w:rsidR="00E054A0">
        <w:t xml:space="preserve"> &amp; Fuhrman, 1995; </w:t>
      </w:r>
      <w:proofErr w:type="spellStart"/>
      <w:r w:rsidR="00E054A0">
        <w:t>Guiton</w:t>
      </w:r>
      <w:proofErr w:type="spellEnd"/>
      <w:r w:rsidR="00E054A0">
        <w:t xml:space="preserve"> &amp; Oakes, 1995</w:t>
      </w:r>
      <w:r w:rsidRPr="00387AC4">
        <w:t>).</w:t>
      </w:r>
      <w:proofErr w:type="gramEnd"/>
      <w:r w:rsidRPr="00387AC4">
        <w:t xml:space="preserve"> NIMAS 1.0 is an essential first step that provides the foundation for the subsequent creation of a variety of alternate format versions designed to meet the needs of students</w:t>
      </w:r>
      <w:r>
        <w:t xml:space="preserve"> with a range of disabilities. For up-to-date information on the NIMAS, go to the </w:t>
      </w:r>
      <w:r w:rsidR="00E054A0">
        <w:t>aem.cast.org</w:t>
      </w:r>
      <w:r>
        <w:t xml:space="preserve"> website.</w:t>
      </w:r>
    </w:p>
    <w:p w14:paraId="06AAE112" w14:textId="77777777" w:rsidR="003D79E9" w:rsidRPr="00387AC4" w:rsidRDefault="003D79E9" w:rsidP="00C755DB">
      <w:r w:rsidRPr="00387AC4">
        <w:t>The Department of Education awarded two cooperative agreements to CAST to continue the NIMAS initiative. The NIMAS Development Center continue</w:t>
      </w:r>
      <w:r>
        <w:t>s</w:t>
      </w:r>
      <w:r w:rsidRPr="00387AC4">
        <w:t xml:space="preserve"> the refinement of the NIMAS and the NIMAS Technical Assistance Center provide</w:t>
      </w:r>
      <w:r>
        <w:t>s</w:t>
      </w:r>
      <w:r w:rsidRPr="00387AC4">
        <w:t xml:space="preserve"> support to states, publishe</w:t>
      </w:r>
      <w:r>
        <w:t>rs,</w:t>
      </w:r>
      <w:r w:rsidRPr="00387AC4">
        <w:t xml:space="preserve"> and other stakeholders in implementing the standard nationwide.</w:t>
      </w:r>
    </w:p>
    <w:p w14:paraId="64891274" w14:textId="77777777" w:rsidR="003D79E9" w:rsidRPr="00387AC4" w:rsidRDefault="003D79E9" w:rsidP="00542C20">
      <w:pPr>
        <w:pStyle w:val="Heading2"/>
      </w:pPr>
      <w:r w:rsidRPr="00387AC4">
        <w:t>The Benefits of Accessible Textbooks</w:t>
      </w:r>
    </w:p>
    <w:p w14:paraId="7995DEB4" w14:textId="77777777" w:rsidR="003D79E9" w:rsidRPr="00387AC4" w:rsidRDefault="003D79E9" w:rsidP="00C755DB">
      <w:r w:rsidRPr="00387AC4">
        <w:t>What instructional realities underlie the exponential increase in national, state</w:t>
      </w:r>
      <w:r>
        <w:t>,</w:t>
      </w:r>
      <w:r w:rsidRPr="00387AC4">
        <w:t xml:space="preserve"> and local attention that is being paid to accessible instructional materials, and how will the increased availability and quality of these materials</w:t>
      </w:r>
      <w:r>
        <w:t xml:space="preserve"> increase student achievement?</w:t>
      </w:r>
    </w:p>
    <w:p w14:paraId="65127047" w14:textId="77777777" w:rsidR="006223EE" w:rsidRDefault="003D79E9" w:rsidP="00B471A6">
      <w:pPr>
        <w:pStyle w:val="Heading3"/>
      </w:pPr>
      <w:r w:rsidRPr="00542C20">
        <w:t>For students with visual impairments</w:t>
      </w:r>
      <w:r>
        <w:t xml:space="preserve"> </w:t>
      </w:r>
    </w:p>
    <w:p w14:paraId="058D952F" w14:textId="2EA8D6F5" w:rsidR="003D79E9" w:rsidRDefault="003D79E9" w:rsidP="00C755DB">
      <w:r w:rsidRPr="00387AC4">
        <w:t xml:space="preserve">Approximately 94,000 blind/low vision students are provided special education support under IDEA, and for the vast majority of these students, access to alternate format materials is essential (source: </w:t>
      </w:r>
      <w:hyperlink r:id="rId15" w:history="1">
        <w:r w:rsidRPr="00995F43">
          <w:rPr>
            <w:rStyle w:val="Hyperlink"/>
          </w:rPr>
          <w:t>American Foundation for the Blind</w:t>
        </w:r>
      </w:hyperlink>
      <w:r w:rsidRPr="00387AC4">
        <w:t xml:space="preserve">). For a subset of this </w:t>
      </w:r>
      <w:r w:rsidRPr="00387AC4">
        <w:lastRenderedPageBreak/>
        <w:t>population</w:t>
      </w:r>
      <w:r>
        <w:t>,</w:t>
      </w:r>
      <w:r w:rsidRPr="00387AC4">
        <w:t xml:space="preserve"> </w:t>
      </w:r>
      <w:r w:rsidR="00E536CD">
        <w:t>b</w:t>
      </w:r>
      <w:r w:rsidRPr="00387AC4">
        <w:t xml:space="preserve">raille versions of textbooks are the preferred format, and on a daily basis in every state the timely provision of quality </w:t>
      </w:r>
      <w:r w:rsidR="00E536CD">
        <w:t>b</w:t>
      </w:r>
      <w:r w:rsidRPr="00387AC4">
        <w:t xml:space="preserve">raille textbooks is dependent upon the seamless cooperation of a dispersed network of publishers, textbook adoption entities, alternate format providers, </w:t>
      </w:r>
      <w:r w:rsidR="00E536CD">
        <w:t>b</w:t>
      </w:r>
      <w:r w:rsidRPr="00387AC4">
        <w:t xml:space="preserve">raille transcribers, teachers of the visually impaired and students. Even when this network of support and provision works efficiently, the time and money required to produce </w:t>
      </w:r>
      <w:r w:rsidR="00E536CD">
        <w:t>b</w:t>
      </w:r>
      <w:r w:rsidRPr="00387AC4">
        <w:t>raille is staggering.</w:t>
      </w:r>
    </w:p>
    <w:p w14:paraId="47252378" w14:textId="21305AFB" w:rsidR="00E054A0" w:rsidRPr="00387AC4" w:rsidRDefault="00E054A0" w:rsidP="00C755DB">
      <w:r>
        <w:t>In testimony before the U.S. Senate’s Health, Education, Labor and Pensions Committee on June</w:t>
      </w:r>
      <w:r w:rsidR="00055326">
        <w:t xml:space="preserve"> 28, 2002</w:t>
      </w:r>
      <w:r>
        <w:t xml:space="preserve">, Barbara McCarthy, Director of the Library and Resource Center of Virginia’s Department for the Blind and Vision Impaired, stated: </w:t>
      </w:r>
    </w:p>
    <w:p w14:paraId="23A0CDDE" w14:textId="4E7F2E39" w:rsidR="003D79E9" w:rsidRPr="0070324A" w:rsidRDefault="003D79E9" w:rsidP="00C914C3">
      <w:pPr>
        <w:pStyle w:val="Quote"/>
      </w:pPr>
      <w:r w:rsidRPr="0070324A">
        <w:t xml:space="preserve">A book the size of the biology text I have with me today will take approximately nine months to transcribe.” Most transcribers work on several books at one time—and regularly provide volumes of </w:t>
      </w:r>
      <w:r w:rsidR="002C7BAF">
        <w:t>b</w:t>
      </w:r>
      <w:r w:rsidRPr="0070324A">
        <w:t xml:space="preserve">raille to stay ahead of the class syllabus. A book like this—1,183 pages—would translate into 4,732 pages in </w:t>
      </w:r>
      <w:r w:rsidR="002C7BAF">
        <w:t>b</w:t>
      </w:r>
      <w:r w:rsidRPr="0070324A">
        <w:t xml:space="preserve">raille. The average cost to produce this </w:t>
      </w:r>
      <w:r w:rsidR="002C7BAF">
        <w:t>b</w:t>
      </w:r>
      <w:r w:rsidRPr="0070324A">
        <w:t>raille book would be $16,562.</w:t>
      </w:r>
    </w:p>
    <w:p w14:paraId="76788D62" w14:textId="537FEDFC" w:rsidR="003D79E9" w:rsidRPr="00387AC4" w:rsidRDefault="003D79E9" w:rsidP="00C755DB">
      <w:r>
        <w:t>S</w:t>
      </w:r>
      <w:r w:rsidRPr="00387AC4">
        <w:t>tates with “</w:t>
      </w:r>
      <w:r w:rsidR="002C7BAF">
        <w:t>b</w:t>
      </w:r>
      <w:r w:rsidRPr="00387AC4">
        <w:t xml:space="preserve">raille Laws” require textbook publishers to provide digital files compatible for </w:t>
      </w:r>
      <w:r w:rsidR="00A914AD">
        <w:t>b</w:t>
      </w:r>
      <w:r w:rsidRPr="00387AC4">
        <w:t>raille transcription. These required formats include ASCII, ICADD-22, SGML, .</w:t>
      </w:r>
      <w:proofErr w:type="spellStart"/>
      <w:r w:rsidRPr="00387AC4">
        <w:t>brf</w:t>
      </w:r>
      <w:proofErr w:type="spellEnd"/>
      <w:r w:rsidRPr="00387AC4">
        <w:t>, W</w:t>
      </w:r>
      <w:r>
        <w:t>ord</w:t>
      </w:r>
      <w:r w:rsidRPr="00387AC4">
        <w:t xml:space="preserve">, and RTF. In addition, the majority of </w:t>
      </w:r>
      <w:r>
        <w:t xml:space="preserve">those </w:t>
      </w:r>
      <w:r w:rsidRPr="00387AC4">
        <w:t xml:space="preserve">states require these files to be provided free of charge. As a consequence, publishers must generate multiple files in multiple formats for multiple jurisdictions, with no financial incentive to produce anything beyond the baseline requirements. </w:t>
      </w:r>
    </w:p>
    <w:p w14:paraId="09D4D194" w14:textId="6DD9C5AB" w:rsidR="003D79E9" w:rsidRPr="00C3690C" w:rsidRDefault="003D79E9" w:rsidP="007B67CF">
      <w:pPr>
        <w:pStyle w:val="Quote"/>
      </w:pPr>
      <w:r w:rsidRPr="00C3690C">
        <w:t xml:space="preserve">A unified national approach would eliminate many of the current file format incongruities while simultaneously meeting the requirements of individual states, </w:t>
      </w:r>
      <w:proofErr w:type="gramStart"/>
      <w:r w:rsidRPr="00C3690C">
        <w:t>It</w:t>
      </w:r>
      <w:proofErr w:type="gramEnd"/>
      <w:r w:rsidRPr="00C3690C">
        <w:t xml:space="preserve"> would increase the quality of </w:t>
      </w:r>
      <w:r w:rsidR="00A914AD">
        <w:t>b</w:t>
      </w:r>
      <w:r w:rsidRPr="00C3690C">
        <w:t>raille-compliant digital files and significantly accelerate the delivery of alternate format materials to students with visual impairments.</w:t>
      </w:r>
    </w:p>
    <w:p w14:paraId="23353E8B" w14:textId="77777777" w:rsidR="006223EE" w:rsidRDefault="003D79E9" w:rsidP="00B471A6">
      <w:pPr>
        <w:pStyle w:val="Heading3"/>
      </w:pPr>
      <w:r w:rsidRPr="00542C20">
        <w:t>For students with physical disabilities</w:t>
      </w:r>
      <w:r w:rsidRPr="00387AC4">
        <w:t xml:space="preserve"> </w:t>
      </w:r>
    </w:p>
    <w:p w14:paraId="4478E0AC" w14:textId="4CAD1FA8" w:rsidR="003D79E9" w:rsidRPr="00387AC4" w:rsidRDefault="003D79E9" w:rsidP="00C755DB">
      <w:r w:rsidRPr="00387AC4">
        <w:t>Approximately .8% of the population of students receiving services under IDEA and Section 504 of the Rehabilitation Act of 1973, or 188,000 K</w:t>
      </w:r>
      <w:r>
        <w:t>–</w:t>
      </w:r>
      <w:r w:rsidRPr="00387AC4">
        <w:t xml:space="preserve">12 students are identified with orthopedic or physical disabilities. While not all of these students experience challenges with print materials, a significant number of them do. The provision of alternate format materials to students with physical disabilities, while not as multi-layered </w:t>
      </w:r>
      <w:proofErr w:type="gramStart"/>
      <w:r w:rsidRPr="00387AC4">
        <w:t>nor</w:t>
      </w:r>
      <w:proofErr w:type="gramEnd"/>
      <w:r w:rsidRPr="00387AC4">
        <w:t xml:space="preserve"> as time-consuming as the provision of alternate formats to students with visual impairments, is nevertheless fraught with complexities. </w:t>
      </w:r>
    </w:p>
    <w:p w14:paraId="6C501261" w14:textId="34653973" w:rsidR="003D79E9" w:rsidRPr="00387AC4" w:rsidRDefault="003D79E9" w:rsidP="00C755DB">
      <w:r w:rsidRPr="00387AC4">
        <w:t xml:space="preserve">First and foremost, the digital files that are provided to many states for conversion into </w:t>
      </w:r>
      <w:r w:rsidR="00A914AD">
        <w:t>b</w:t>
      </w:r>
      <w:r w:rsidRPr="00387AC4">
        <w:t xml:space="preserve">raille are generally unsuitable for students whose primary print disability is physical. Since the required digital files </w:t>
      </w:r>
      <w:proofErr w:type="gramStart"/>
      <w:r w:rsidRPr="00387AC4">
        <w:t>are designed primarily to be transformed</w:t>
      </w:r>
      <w:proofErr w:type="gramEnd"/>
      <w:r w:rsidRPr="00387AC4">
        <w:t xml:space="preserve"> into a specific </w:t>
      </w:r>
      <w:r w:rsidRPr="00387AC4">
        <w:lastRenderedPageBreak/>
        <w:t xml:space="preserve">“student ready” format (in most cases, </w:t>
      </w:r>
      <w:r w:rsidR="00A914AD">
        <w:t>b</w:t>
      </w:r>
      <w:r w:rsidRPr="00387AC4">
        <w:t>raille) they are not developed with direct display or direct use by students with limited dexterity in mind. It is possible to apply layout and navigation structure (unit, chapter, section, head, subhead, paragraph etc.) or emphasis (bold for glossary terms, for example) as well as validate page number correspondence, but this is a time-consuming process and it is often easier and less costly to scan the print version into a digital format. For the majority of students with physical disabilities, navigation through the text becomes a significant issue since students unable to physically manage a print book are generally unable to use a mouse.</w:t>
      </w:r>
    </w:p>
    <w:p w14:paraId="56DE02A8" w14:textId="77777777" w:rsidR="003D79E9" w:rsidRPr="00387AC4" w:rsidRDefault="003D79E9" w:rsidP="00C755DB">
      <w:r w:rsidRPr="00387AC4">
        <w:t xml:space="preserve">Once supplied with usable structure, the digital file becomes inherently more navigable using voice control, eye gaze, head pointer, single-switch access or keyboard. Unfortunately, the majority of alternate format materials created for students with physical disabilities do not contain images or graphics, so these students are often forced to alternate between the on-screen display of text and the graphical elements in the textbook. </w:t>
      </w:r>
    </w:p>
    <w:p w14:paraId="1E18C4C5" w14:textId="77777777" w:rsidR="003D79E9" w:rsidRPr="003327B6" w:rsidRDefault="003D79E9" w:rsidP="007B67CF">
      <w:pPr>
        <w:pStyle w:val="Quote"/>
      </w:pPr>
      <w:r w:rsidRPr="003327B6">
        <w:t>A more unified approach will allow for the creation of varied, well structured and complete student-ready versions, including easily navigable digital files with images, from the same source file, eliminating redundancies and simultaneously improving the accuracy of the alternate version and aligning it with the print work.</w:t>
      </w:r>
    </w:p>
    <w:p w14:paraId="430DF951" w14:textId="77777777" w:rsidR="006223EE" w:rsidRPr="00542C20" w:rsidRDefault="003D79E9" w:rsidP="00B471A6">
      <w:pPr>
        <w:pStyle w:val="Heading3"/>
      </w:pPr>
      <w:r w:rsidRPr="00542C20">
        <w:t xml:space="preserve">For students with learning disabilities </w:t>
      </w:r>
    </w:p>
    <w:p w14:paraId="374175F6" w14:textId="4B8BCFBD" w:rsidR="003D79E9" w:rsidRPr="00387AC4" w:rsidRDefault="003D79E9" w:rsidP="00C755DB">
      <w:r w:rsidRPr="00387AC4">
        <w:t xml:space="preserve">As of 2001, students with specific Learning Disabilities </w:t>
      </w:r>
      <w:r>
        <w:t>(</w:t>
      </w:r>
      <w:r w:rsidRPr="00387AC4">
        <w:t>such as dyslexia, ADHD, etc.</w:t>
      </w:r>
      <w:r>
        <w:t xml:space="preserve">) </w:t>
      </w:r>
      <w:r w:rsidRPr="00387AC4">
        <w:t>comprised slightly over 45% of all K</w:t>
      </w:r>
      <w:r>
        <w:t>–</w:t>
      </w:r>
      <w:r w:rsidRPr="00387AC4">
        <w:t>12 students with disabilities</w:t>
      </w:r>
      <w:r>
        <w:t xml:space="preserve"> </w:t>
      </w:r>
      <w:r w:rsidRPr="00387AC4">
        <w:t>(NCES</w:t>
      </w:r>
      <w:r w:rsidR="002C7BAF">
        <w:t>, 2002</w:t>
      </w:r>
      <w:r w:rsidR="00DD0F46">
        <w:t xml:space="preserve"> for more statistics, visit </w:t>
      </w:r>
      <w:hyperlink r:id="rId16" w:history="1">
        <w:r w:rsidR="00DD0F46" w:rsidRPr="00DD0F46">
          <w:rPr>
            <w:rStyle w:val="Hyperlink"/>
          </w:rPr>
          <w:t>National Center for Education Statistics</w:t>
        </w:r>
      </w:hyperlink>
      <w:r w:rsidRPr="00387AC4">
        <w:t xml:space="preserve">). While not all of these students struggle to extract meaning from print, and while not all of them may qualify for alternate format materials under the Section 121 copyright exemption, they all evidence unique and challenging learning needs of varying degrees of intensity. A large majority of </w:t>
      </w:r>
      <w:r w:rsidR="002C7BAF">
        <w:t>students with learning disabilities</w:t>
      </w:r>
      <w:r w:rsidRPr="00387AC4">
        <w:t xml:space="preserve"> do struggle with print materials, however, and, setting aside for the moment the issue of who does or who does not qualify for alternate format materials under existing copyright law, both </w:t>
      </w:r>
      <w:r w:rsidRPr="00CE4656">
        <w:t>special</w:t>
      </w:r>
      <w:r w:rsidRPr="00387AC4">
        <w:t xml:space="preserve"> education legislation (IDEA) and civil rights laws (ADA, Section 504) have repeatedly reinforced the rights of students with disabilities to equal learning opportunities, including access to appropriate and accessible textbooks.</w:t>
      </w:r>
    </w:p>
    <w:p w14:paraId="65572147" w14:textId="443A73FA" w:rsidR="003D79E9" w:rsidRPr="00387AC4" w:rsidRDefault="003D79E9" w:rsidP="00C755DB">
      <w:r w:rsidRPr="00387AC4">
        <w:t>Much in the same way that students with visual impairments cannot read a standard 7</w:t>
      </w:r>
      <w:r w:rsidR="00742DFC" w:rsidRPr="0070324A">
        <w:rPr>
          <w:vertAlign w:val="superscript"/>
        </w:rPr>
        <w:t>th</w:t>
      </w:r>
      <w:r w:rsidR="00742DFC">
        <w:t>-</w:t>
      </w:r>
      <w:r>
        <w:t xml:space="preserve"> </w:t>
      </w:r>
      <w:r w:rsidRPr="00387AC4">
        <w:t>grade Social Studies textbook because they cannot see it, students with learning disabilities cannot keep pace in the same class</w:t>
      </w:r>
      <w:r>
        <w:t>—</w:t>
      </w:r>
      <w:r w:rsidRPr="00387AC4">
        <w:t>not because they find the Social Studies content too challenging</w:t>
      </w:r>
      <w:r>
        <w:t>—</w:t>
      </w:r>
      <w:r w:rsidRPr="00387AC4">
        <w:t xml:space="preserve">but because they cannot read sufficiently to keep pace with their non-disabled peers. In these circumstances, if these students have </w:t>
      </w:r>
      <w:r w:rsidRPr="00387AC4">
        <w:lastRenderedPageBreak/>
        <w:t>access to alternative representations of the printed work (audio versions, for example, via synthetic speech or recorded human voice); they will then not be denied access to educational achievement opportunities like Social Studies solely on the basis of their print disability.</w:t>
      </w:r>
    </w:p>
    <w:p w14:paraId="5AA48280" w14:textId="6A7E75EB" w:rsidR="003D79E9" w:rsidRPr="00387AC4" w:rsidRDefault="003D79E9" w:rsidP="00C755DB">
      <w:r w:rsidRPr="00387AC4">
        <w:t xml:space="preserve">The debilitating impact of print disabilities continually emerged through the data compiled from the National Longitudinal Transition Study-2 (NLTS2). Of students </w:t>
      </w:r>
      <w:r w:rsidR="002C7BAF">
        <w:t xml:space="preserve">with learning disabilities </w:t>
      </w:r>
      <w:r w:rsidRPr="00387AC4">
        <w:t>on IEP or Section 504 plans, 41.2% had test read to them as an accommodation, a percentage higher than for students with visual impairments (35.5%)</w:t>
      </w:r>
      <w:r w:rsidR="00742DFC">
        <w:t>.</w:t>
      </w:r>
      <w:r w:rsidRPr="00CE4656">
        <w:rPr>
          <w:vertAlign w:val="superscript"/>
        </w:rPr>
        <w:footnoteReference w:id="10"/>
      </w:r>
      <w:r w:rsidRPr="00387AC4">
        <w:t xml:space="preserve"> Similarly, the percentage who required “additional time required to complete assignments” (65%) the highest of any population of special education or Section 504 students with the exception of Traumatic Brain Injury</w:t>
      </w:r>
      <w:r w:rsidR="00742DFC">
        <w:t>.</w:t>
      </w:r>
      <w:r w:rsidRPr="000937F3">
        <w:rPr>
          <w:vertAlign w:val="superscript"/>
        </w:rPr>
        <w:footnoteReference w:id="11"/>
      </w:r>
      <w:r w:rsidRPr="00387AC4">
        <w:t xml:space="preserve"> Clearly the reliance on print materials in the process of education has a profound and compromising impact</w:t>
      </w:r>
      <w:r>
        <w:t xml:space="preserve"> on students</w:t>
      </w:r>
      <w:r w:rsidR="002C7BAF">
        <w:t xml:space="preserve"> with learning disabilities</w:t>
      </w:r>
      <w:r>
        <w:t>.</w:t>
      </w:r>
    </w:p>
    <w:p w14:paraId="742F3CF1" w14:textId="667C0818" w:rsidR="003D79E9" w:rsidRPr="00437874" w:rsidRDefault="003D79E9" w:rsidP="007B67CF">
      <w:pPr>
        <w:pStyle w:val="Quote"/>
      </w:pPr>
      <w:r w:rsidRPr="00437874">
        <w:t xml:space="preserve">The availability of textbooks in accessible alternative formats suitable for representation via human or synthetic speech would significantly increase the independent use of these core curriculum resources by students </w:t>
      </w:r>
      <w:r w:rsidR="002C7BAF">
        <w:t>with learning disabilities</w:t>
      </w:r>
      <w:r w:rsidRPr="00437874">
        <w:t xml:space="preserve">. </w:t>
      </w:r>
    </w:p>
    <w:p w14:paraId="22DF7E50" w14:textId="77777777" w:rsidR="006223EE" w:rsidRPr="00B471A6" w:rsidRDefault="003D79E9" w:rsidP="00B471A6">
      <w:pPr>
        <w:pStyle w:val="Heading3"/>
      </w:pPr>
      <w:r w:rsidRPr="00B471A6">
        <w:t>For students who are Deaf or hard of hearing</w:t>
      </w:r>
    </w:p>
    <w:p w14:paraId="5341DE97" w14:textId="3F4F5EC1" w:rsidR="003D79E9" w:rsidRPr="00387AC4" w:rsidRDefault="003D79E9" w:rsidP="00C755DB">
      <w:r w:rsidRPr="00387AC4">
        <w:t xml:space="preserve">Students with hearing impairments are not routinely considered to be “print disabled.” However, young children with hearing impairments either have little or no exposure to the prosody, vocabulary, syntax and semantics of spoken language and it is this foundation upon which the literacy skills of reading and writing are based. Hearing impaired students who acquire sign language as their primary medium of communication internalize a linguistic structure that is marked different from standard English; as a consequence, few Deaf students develop beyond a </w:t>
      </w:r>
      <w:r w:rsidR="00742DFC">
        <w:t>5</w:t>
      </w:r>
      <w:r w:rsidR="00742DFC" w:rsidRPr="0070324A">
        <w:rPr>
          <w:vertAlign w:val="superscript"/>
        </w:rPr>
        <w:t>th</w:t>
      </w:r>
      <w:r w:rsidR="00742DFC">
        <w:t>-</w:t>
      </w:r>
      <w:r w:rsidRPr="00387AC4">
        <w:t xml:space="preserve">grade reading level, and this factor alone becomes a significant limitation as these students attempt to progress through school. In fact, some of the most recent research on the literacy level </w:t>
      </w:r>
      <w:r w:rsidRPr="00387AC4">
        <w:lastRenderedPageBreak/>
        <w:t>of 17- and 18-year-old Deaf students yielded a median reading grade level score of 4.0 on the Stanford 9</w:t>
      </w:r>
      <w:r w:rsidRPr="00CE4656">
        <w:rPr>
          <w:vertAlign w:val="superscript"/>
        </w:rPr>
        <w:footnoteReference w:id="12"/>
      </w:r>
      <w:r w:rsidRPr="00387AC4">
        <w:t xml:space="preserve">. </w:t>
      </w:r>
    </w:p>
    <w:p w14:paraId="21051635" w14:textId="62F2EA61" w:rsidR="003D79E9" w:rsidRPr="00387AC4" w:rsidRDefault="003D79E9" w:rsidP="00C755DB">
      <w:r w:rsidRPr="00387AC4">
        <w:t xml:space="preserve">During the past </w:t>
      </w:r>
      <w:r>
        <w:t>fifteen years,</w:t>
      </w:r>
      <w:r w:rsidRPr="00387AC4">
        <w:t xml:space="preserve"> research has emerged which documents a strong causal relationship between proficiency in sign language (specifically, ASL) and proficiency in </w:t>
      </w:r>
      <w:proofErr w:type="gramStart"/>
      <w:r w:rsidRPr="00387AC4">
        <w:t>standard English</w:t>
      </w:r>
      <w:proofErr w:type="gramEnd"/>
      <w:r w:rsidRPr="00387AC4">
        <w:t xml:space="preserve"> (Strong &amp; </w:t>
      </w:r>
      <w:proofErr w:type="spellStart"/>
      <w:r w:rsidRPr="00387AC4">
        <w:t>Prinz</w:t>
      </w:r>
      <w:proofErr w:type="spellEnd"/>
      <w:r w:rsidRPr="00387AC4">
        <w:t xml:space="preserve">, 1997; </w:t>
      </w:r>
      <w:proofErr w:type="spellStart"/>
      <w:r w:rsidRPr="00387AC4">
        <w:t>Prinz</w:t>
      </w:r>
      <w:proofErr w:type="spellEnd"/>
      <w:r w:rsidRPr="00387AC4">
        <w:t xml:space="preserve"> &amp; Strong, 1998; </w:t>
      </w:r>
      <w:proofErr w:type="spellStart"/>
      <w:r w:rsidRPr="00387AC4">
        <w:t>Padden</w:t>
      </w:r>
      <w:proofErr w:type="spellEnd"/>
      <w:r w:rsidRPr="00387AC4">
        <w:t xml:space="preserve"> &amp; Ramsey, 2000). Researchers who have found promise in this “bilingual” approach to improving Deaf literacy also note that providing signed equivalents to standard English (or English equivalents for sign) has generally relied upon the sequential display of information</w:t>
      </w:r>
      <w:r>
        <w:t>—</w:t>
      </w:r>
      <w:r w:rsidRPr="00387AC4">
        <w:t>first sign, then English, for example, primarily because the logistics of creating an accurate, efficient and practical approach to creating a simultaneous display</w:t>
      </w:r>
      <w:r>
        <w:t>—</w:t>
      </w:r>
      <w:r w:rsidRPr="00387AC4">
        <w:t>both sign and English available at the same time</w:t>
      </w:r>
      <w:r>
        <w:t>—</w:t>
      </w:r>
      <w:r w:rsidRPr="00387AC4">
        <w:t>have been daunting. There is widespread agreement, however, that technologies such as the Signing Avatar and the use of concatenated video recordings of human interpreters can increasingly be combined with ever-increasing power of computers to create instantaneous onscreen translations fro one language to another.</w:t>
      </w:r>
    </w:p>
    <w:p w14:paraId="5B31B071" w14:textId="77777777" w:rsidR="003D79E9" w:rsidRPr="00437874" w:rsidRDefault="003D79E9" w:rsidP="00C04484">
      <w:pPr>
        <w:pStyle w:val="Quote"/>
      </w:pPr>
      <w:r w:rsidRPr="00437874">
        <w:t xml:space="preserve">The increased availability of </w:t>
      </w:r>
      <w:proofErr w:type="gramStart"/>
      <w:r w:rsidRPr="00437874">
        <w:t>digitally-based</w:t>
      </w:r>
      <w:proofErr w:type="gramEnd"/>
      <w:r w:rsidRPr="00437874">
        <w:t xml:space="preserve"> standard textbooks provides the necessary foundation elements for the subsequent creation of learning resources that contain both signed and text versions of the same instructional content.</w:t>
      </w:r>
    </w:p>
    <w:p w14:paraId="4DF6844C" w14:textId="77777777" w:rsidR="006223EE" w:rsidRPr="00B471A6" w:rsidRDefault="003D79E9" w:rsidP="00B471A6">
      <w:pPr>
        <w:pStyle w:val="Heading3"/>
      </w:pPr>
      <w:r w:rsidRPr="00B471A6">
        <w:t xml:space="preserve">For students with intellectual disabilities, traumatic brain injury and other cognitive impairments </w:t>
      </w:r>
    </w:p>
    <w:p w14:paraId="1C4AB9F1" w14:textId="40FC18DC" w:rsidR="003D79E9" w:rsidRPr="00387AC4" w:rsidRDefault="003D79E9" w:rsidP="00C755DB">
      <w:r w:rsidRPr="00387AC4">
        <w:t xml:space="preserve">This subset of students with IEP’s or Section 504 </w:t>
      </w:r>
      <w:proofErr w:type="gramStart"/>
      <w:r w:rsidRPr="00387AC4">
        <w:t>plans,</w:t>
      </w:r>
      <w:proofErr w:type="gramEnd"/>
      <w:r w:rsidRPr="00387AC4">
        <w:t xml:space="preserve"> though ineligible for alternate format materials under the </w:t>
      </w:r>
      <w:r>
        <w:t>“</w:t>
      </w:r>
      <w:r w:rsidRPr="00387AC4">
        <w:t>Chafee” copyright exemption, often find their educational opportunities limited by the inflexibility of instructional materials. In contrast to the drill and practice approach to basic “sight word” development that permeated the reading instruction of students with cognitive disabilities for many years, recent findings (</w:t>
      </w:r>
      <w:proofErr w:type="spellStart"/>
      <w:r w:rsidRPr="00387AC4">
        <w:t>Gurry</w:t>
      </w:r>
      <w:proofErr w:type="spellEnd"/>
      <w:r w:rsidR="00055326">
        <w:t xml:space="preserve"> </w:t>
      </w:r>
      <w:r w:rsidRPr="00387AC4">
        <w:t>&amp; Larkin,</w:t>
      </w:r>
      <w:r w:rsidR="00055326">
        <w:t xml:space="preserve"> </w:t>
      </w:r>
      <w:r w:rsidRPr="00387AC4">
        <w:t>1999; National Reading Panel</w:t>
      </w:r>
      <w:r w:rsidR="00055326">
        <w:t>, 2000</w:t>
      </w:r>
      <w:r w:rsidRPr="00387AC4">
        <w:t xml:space="preserve">) indicate a shift in awareness towards a research-based approach. </w:t>
      </w:r>
      <w:proofErr w:type="spellStart"/>
      <w:r w:rsidRPr="00387AC4">
        <w:t>Koppenhaver</w:t>
      </w:r>
      <w:proofErr w:type="spellEnd"/>
      <w:r>
        <w:t xml:space="preserve">, Erickson </w:t>
      </w:r>
      <w:r w:rsidR="00055326">
        <w:t>and</w:t>
      </w:r>
      <w:r>
        <w:t xml:space="preserve"> </w:t>
      </w:r>
      <w:proofErr w:type="spellStart"/>
      <w:r>
        <w:t>Skotko</w:t>
      </w:r>
      <w:proofErr w:type="spellEnd"/>
      <w:r>
        <w:t xml:space="preserve"> (2001) </w:t>
      </w:r>
      <w:r w:rsidRPr="00387AC4">
        <w:t xml:space="preserve">and their colleagues at the Center for Literacy and Disabilities Studies suggests that students with mental retardation benefit from the same research-based instructional approaches that work for other students who are learning to read (National Reading Panel, 2000). That is, reading instruction that: </w:t>
      </w:r>
    </w:p>
    <w:p w14:paraId="79CC12B0" w14:textId="77777777" w:rsidR="003D79E9" w:rsidRPr="00387AC4" w:rsidRDefault="003D79E9" w:rsidP="00C755DB">
      <w:pPr>
        <w:pStyle w:val="ListParagraph"/>
        <w:numPr>
          <w:ilvl w:val="0"/>
          <w:numId w:val="6"/>
        </w:numPr>
      </w:pPr>
      <w:r w:rsidRPr="00387AC4">
        <w:lastRenderedPageBreak/>
        <w:t xml:space="preserve">Focuses on reading for meaning </w:t>
      </w:r>
    </w:p>
    <w:p w14:paraId="24F5D65C" w14:textId="77777777" w:rsidR="003D79E9" w:rsidRPr="00387AC4" w:rsidRDefault="003D79E9" w:rsidP="00C755DB">
      <w:pPr>
        <w:pStyle w:val="ListParagraph"/>
        <w:numPr>
          <w:ilvl w:val="0"/>
          <w:numId w:val="6"/>
        </w:numPr>
      </w:pPr>
      <w:r w:rsidRPr="00387AC4">
        <w:t xml:space="preserve">Provides direct instruction in reading skills such as decoding </w:t>
      </w:r>
    </w:p>
    <w:p w14:paraId="062D5AF9" w14:textId="77777777" w:rsidR="003D79E9" w:rsidRPr="00387AC4" w:rsidRDefault="003D79E9" w:rsidP="00C755DB">
      <w:pPr>
        <w:pStyle w:val="ListParagraph"/>
        <w:numPr>
          <w:ilvl w:val="0"/>
          <w:numId w:val="6"/>
        </w:numPr>
      </w:pPr>
      <w:r w:rsidRPr="00387AC4">
        <w:t xml:space="preserve">Offers appealing print and electronic texts. </w:t>
      </w:r>
    </w:p>
    <w:p w14:paraId="1507A3E1" w14:textId="77777777" w:rsidR="003D79E9" w:rsidRPr="00387AC4" w:rsidRDefault="003D79E9" w:rsidP="00C755DB">
      <w:r w:rsidRPr="00387AC4">
        <w:t xml:space="preserve">The type of reading instruction envisioned by the National Reading Panel contributors and by other researchers is readily facilitated by the availability of flexible, adjustable versions of core instructional materials. </w:t>
      </w:r>
    </w:p>
    <w:p w14:paraId="6126A2A9" w14:textId="77777777" w:rsidR="003D79E9" w:rsidRPr="00387AC4" w:rsidRDefault="003D79E9" w:rsidP="00C755DB">
      <w:r w:rsidRPr="00387AC4">
        <w:t>Media that can be transformed from one modality to another (text-to-speech, for example) or used to customize the display of a page into discreet and manageable chunks can help to focus the attention of distractible students or help differentiate salient from less important information. Students with mental retardation often experience difficulty with motivation and attention</w:t>
      </w:r>
      <w:r w:rsidRPr="00CE4656">
        <w:rPr>
          <w:vertAlign w:val="superscript"/>
        </w:rPr>
        <w:footnoteReference w:id="13"/>
      </w:r>
      <w:r w:rsidRPr="00387AC4">
        <w:t>. These students clearly benefit from engaging and adjustable displays, or displays that support constrained presentations of information. Further, research has shown that students with mental retardation have difficulty understanding abstract concepts, especially when the abstractions cannot be effectively concretized or represented as an aid to understanding</w:t>
      </w:r>
      <w:r w:rsidRPr="00CE4656">
        <w:rPr>
          <w:vertAlign w:val="superscript"/>
        </w:rPr>
        <w:footnoteReference w:id="14"/>
      </w:r>
      <w:r w:rsidRPr="00387AC4">
        <w:t xml:space="preserve">. </w:t>
      </w:r>
    </w:p>
    <w:p w14:paraId="223B28E1" w14:textId="77777777" w:rsidR="003D79E9" w:rsidRPr="00437874" w:rsidRDefault="003D79E9" w:rsidP="00C04484">
      <w:pPr>
        <w:pStyle w:val="Quote"/>
      </w:pPr>
      <w:r w:rsidRPr="00437874">
        <w:t xml:space="preserve">Accessible, flexible alternate versions of core curriculum materials can increase engagement, attention and achievement by offering adjustable levels of complexity, novelty and mixed media. </w:t>
      </w:r>
    </w:p>
    <w:p w14:paraId="529C0067" w14:textId="77777777" w:rsidR="003D79E9" w:rsidRPr="00CE4656" w:rsidRDefault="003D79E9" w:rsidP="00542C20">
      <w:pPr>
        <w:pStyle w:val="Heading2"/>
      </w:pPr>
      <w:r w:rsidRPr="00CE4656">
        <w:t>Challenges to Be Overcome</w:t>
      </w:r>
    </w:p>
    <w:p w14:paraId="548F1BD5" w14:textId="77777777" w:rsidR="0023604C" w:rsidRDefault="003D79E9" w:rsidP="00542C20">
      <w:pPr>
        <w:pStyle w:val="Heading3"/>
      </w:pPr>
      <w:r w:rsidRPr="00542C20">
        <w:t>Technological Challenges</w:t>
      </w:r>
      <w:r>
        <w:t xml:space="preserve"> </w:t>
      </w:r>
    </w:p>
    <w:p w14:paraId="45C83FE4" w14:textId="112BA7DA" w:rsidR="003D79E9" w:rsidRPr="00387AC4" w:rsidRDefault="003D79E9" w:rsidP="0023604C">
      <w:r w:rsidRPr="00387AC4">
        <w:t xml:space="preserve">The initiative to establish version 1.0 of the National Instructional Materials Accessibility Standard (NIMAS) </w:t>
      </w:r>
      <w:r>
        <w:t>wa</w:t>
      </w:r>
      <w:r w:rsidRPr="00387AC4">
        <w:t>s designed to provide the foundation for the subsequent creation of a variety of alternate</w:t>
      </w:r>
      <w:r>
        <w:t>-</w:t>
      </w:r>
      <w:r w:rsidRPr="00387AC4">
        <w:t>format versions designed to meet the needs of students with visual, physical, hearing, learning</w:t>
      </w:r>
      <w:r>
        <w:t>,</w:t>
      </w:r>
      <w:r w:rsidRPr="00387AC4">
        <w:t xml:space="preserve"> and cognitive disabilities. The NIMAS file package consist</w:t>
      </w:r>
      <w:r>
        <w:t>s</w:t>
      </w:r>
      <w:r w:rsidRPr="00387AC4">
        <w:t xml:space="preserve"> of an XML source file and associated files </w:t>
      </w:r>
      <w:r>
        <w:t>including</w:t>
      </w:r>
      <w:r w:rsidRPr="00387AC4">
        <w:t xml:space="preserve"> graphical elements included in print textbooks. </w:t>
      </w:r>
      <w:r>
        <w:t>The approved</w:t>
      </w:r>
      <w:r w:rsidRPr="00387AC4">
        <w:t xml:space="preserve"> workflow involves the distribution of the NIMAS </w:t>
      </w:r>
      <w:proofErr w:type="spellStart"/>
      <w:r w:rsidRPr="00387AC4">
        <w:t>file</w:t>
      </w:r>
      <w:r>
        <w:t>set</w:t>
      </w:r>
      <w:proofErr w:type="spellEnd"/>
      <w:r w:rsidRPr="00387AC4">
        <w:t xml:space="preserve"> to </w:t>
      </w:r>
      <w:r>
        <w:t xml:space="preserve">a </w:t>
      </w:r>
      <w:r w:rsidRPr="00387AC4">
        <w:t xml:space="preserve">centralized repository for validation and subsequent distribution to </w:t>
      </w:r>
      <w:r w:rsidRPr="00387AC4">
        <w:lastRenderedPageBreak/>
        <w:t xml:space="preserve">third-party content conversion organizations (Recording for the Blind and Dyslexic, </w:t>
      </w:r>
      <w:proofErr w:type="spellStart"/>
      <w:r w:rsidRPr="00387AC4">
        <w:t>BookShare</w:t>
      </w:r>
      <w:proofErr w:type="spellEnd"/>
      <w:r w:rsidRPr="00387AC4">
        <w:t>, American Printing House for the</w:t>
      </w:r>
      <w:r>
        <w:t xml:space="preserve"> Blind, etc.) </w:t>
      </w:r>
      <w:proofErr w:type="gramStart"/>
      <w:r>
        <w:t>who</w:t>
      </w:r>
      <w:proofErr w:type="gramEnd"/>
      <w:r>
        <w:t xml:space="preserve"> in turn </w:t>
      </w:r>
      <w:r w:rsidRPr="00387AC4">
        <w:t xml:space="preserve">create a variety of student-ready versions for distribution to schools and states. Regardless of the distribution, a number of technological challenges need to be addressed. </w:t>
      </w:r>
    </w:p>
    <w:p w14:paraId="6214F5D1" w14:textId="77777777" w:rsidR="0023604C" w:rsidRPr="000977C5" w:rsidRDefault="003D79E9" w:rsidP="000977C5">
      <w:pPr>
        <w:pStyle w:val="Heading3"/>
      </w:pPr>
      <w:r w:rsidRPr="000977C5">
        <w:t xml:space="preserve">Legislative Challenges </w:t>
      </w:r>
    </w:p>
    <w:p w14:paraId="2E47EAD1" w14:textId="22528FE8" w:rsidR="003D79E9" w:rsidRPr="00387AC4" w:rsidRDefault="003D79E9" w:rsidP="0023604C">
      <w:r w:rsidRPr="00387AC4">
        <w:t xml:space="preserve">As mentioned previously, six states extended the scope of their existing </w:t>
      </w:r>
      <w:r w:rsidR="00A914AD">
        <w:t>b</w:t>
      </w:r>
      <w:r w:rsidRPr="00387AC4">
        <w:t>raille laws to encompass broader requirements for accessible textbooks. While these state-level mandates are progressive in their intent and designed to facilitate the state’s capacity to meet its obligations under existing federal special education and civil rights laws, they are also duplicative, and, in some cases, divisive. Only three of the six states (Kentucky, Arizona</w:t>
      </w:r>
      <w:r>
        <w:t>,</w:t>
      </w:r>
      <w:r w:rsidRPr="00387AC4">
        <w:t xml:space="preserve"> and New Mexico) specifically reference an alignment with a “national file format” (NIMAS); without this acknowledged alignment with </w:t>
      </w:r>
      <w:r>
        <w:t>NIMAS</w:t>
      </w:r>
      <w:r w:rsidRPr="00387AC4">
        <w:t xml:space="preserve">, some existing state legislation threatens to perpetuate redundancies and inefficiencies. </w:t>
      </w:r>
    </w:p>
    <w:p w14:paraId="1808175D" w14:textId="3B94F509" w:rsidR="003D79E9" w:rsidRPr="00387AC4" w:rsidRDefault="003D79E9" w:rsidP="0023604C">
      <w:r w:rsidRPr="00387AC4">
        <w:t>In order to prevent this effect</w:t>
      </w:r>
      <w:r>
        <w:t>,</w:t>
      </w:r>
      <w:r w:rsidRPr="00387AC4">
        <w:t xml:space="preserve"> curriculum publishers, third-party content transformation organizations</w:t>
      </w:r>
      <w:r>
        <w:t>,</w:t>
      </w:r>
      <w:r w:rsidRPr="00387AC4">
        <w:t xml:space="preserve"> and disability advocacy groups proposed and supported first the Instructional Materials Accessibility Act of 2002 (IMAA) and, more recently, the inclusion of a mandated NIMAS compliance in the reauthorization of IDEA. Both of these federal legislative efforts are designed to achieve the same goal: </w:t>
      </w:r>
      <w:r>
        <w:t xml:space="preserve"> </w:t>
      </w:r>
      <w:r w:rsidRPr="00387AC4">
        <w:t xml:space="preserve">a federal mandate for both states and publishers to adopt a unified approach to address this issue. </w:t>
      </w:r>
      <w:r>
        <w:t>For more information about NIMAS and IDEA, see the</w:t>
      </w:r>
      <w:r w:rsidR="00055326">
        <w:t xml:space="preserve"> aem.cast.org</w:t>
      </w:r>
      <w:r>
        <w:t xml:space="preserve"> </w:t>
      </w:r>
      <w:r w:rsidR="00055326">
        <w:t>web</w:t>
      </w:r>
      <w:r>
        <w:t>site.</w:t>
      </w:r>
    </w:p>
    <w:p w14:paraId="1B4B97DB" w14:textId="77777777" w:rsidR="0023604C" w:rsidRPr="00B471A6" w:rsidRDefault="003D79E9" w:rsidP="00B471A6">
      <w:pPr>
        <w:pStyle w:val="Heading3"/>
      </w:pPr>
      <w:r w:rsidRPr="00B471A6">
        <w:t xml:space="preserve">Commercial Challenges </w:t>
      </w:r>
    </w:p>
    <w:p w14:paraId="0975108C" w14:textId="5C893827" w:rsidR="003D79E9" w:rsidRPr="00387AC4" w:rsidRDefault="003D79E9" w:rsidP="0023604C">
      <w:r w:rsidRPr="00387AC4">
        <w:t>The systematic provision of accessible alternate</w:t>
      </w:r>
      <w:r>
        <w:t>-</w:t>
      </w:r>
      <w:r w:rsidRPr="00387AC4">
        <w:t xml:space="preserve">format versions of print materials began with the invention of </w:t>
      </w:r>
      <w:r w:rsidR="00A914AD">
        <w:t>b</w:t>
      </w:r>
      <w:r w:rsidRPr="00387AC4">
        <w:t>raille in the early 1800s</w:t>
      </w:r>
      <w:r w:rsidRPr="00CE4656">
        <w:rPr>
          <w:vertAlign w:val="superscript"/>
        </w:rPr>
        <w:footnoteReference w:id="15"/>
      </w:r>
      <w:r w:rsidRPr="00387AC4">
        <w:t>. The institutionalization of this effort in the United States occurred in the early 1930s with the establishment of the National Library Service for the Blind at the Library of Congress</w:t>
      </w:r>
      <w:r w:rsidRPr="00CE4656">
        <w:rPr>
          <w:vertAlign w:val="superscript"/>
        </w:rPr>
        <w:footnoteReference w:id="16"/>
      </w:r>
      <w:r w:rsidRPr="00387AC4">
        <w:t xml:space="preserve">. Government-supported organizations like Recording for the Blind and Dyslexic and American Printing House for the Blind were created to address an expanding and differentiated need. The </w:t>
      </w:r>
      <w:r w:rsidRPr="00387AC4">
        <w:lastRenderedPageBreak/>
        <w:t xml:space="preserve">steady emergence of additional non-profit and for-profit alternate format organizations during the past fifty years has attested to the sustained need for these materials. </w:t>
      </w:r>
    </w:p>
    <w:p w14:paraId="6B088274" w14:textId="77777777" w:rsidR="003D79E9" w:rsidRPr="00387AC4" w:rsidRDefault="003D79E9" w:rsidP="0023604C">
      <w:r w:rsidRPr="00387AC4">
        <w:t>Inherent across all of these initiatives has been an acknowledgement that the provision of alternate</w:t>
      </w:r>
      <w:r>
        <w:t>-</w:t>
      </w:r>
      <w:r w:rsidRPr="00387AC4">
        <w:t>format versions of print materials is an expensive and time-consuming process. Historically, practice has dictated that individuals with “print disabilities” be provided with these versions at reduced or no charge, and, concomitantly, that print publishers not be expected to produce this content, but to facilitate its production at little or no cost to the consumer. Since the passage of the first Elementary and Secondary Education Act (ESEA) in 1965 and the subsequent evolution of state departments of education as distribution points for “categorical” aid (Title I, Title IV, Title VI, etc.)</w:t>
      </w:r>
      <w:r w:rsidRPr="00CE4656">
        <w:rPr>
          <w:vertAlign w:val="superscript"/>
        </w:rPr>
        <w:footnoteReference w:id="17"/>
      </w:r>
      <w:r w:rsidRPr="00387AC4">
        <w:t>, these state-level requirements have steadily increased.</w:t>
      </w:r>
    </w:p>
    <w:p w14:paraId="408193CD" w14:textId="77777777" w:rsidR="003D79E9" w:rsidRPr="00387AC4" w:rsidRDefault="003D79E9" w:rsidP="0023604C">
      <w:r w:rsidRPr="00387AC4">
        <w:t>Concurrent with this increased systemic demand, the local (site-based) transformation of print textbooks into accessible digital versions</w:t>
      </w:r>
      <w:r>
        <w:t>—Word</w:t>
      </w:r>
      <w:r w:rsidRPr="00387AC4">
        <w:t xml:space="preserve"> or HTML or RTF files, for example</w:t>
      </w:r>
      <w:r>
        <w:t>—</w:t>
      </w:r>
      <w:r w:rsidRPr="00387AC4">
        <w:t xml:space="preserve">has also increased exponentially. As previously mentioned, special education personnel at the state, local and district level interpret the Chafee copyright exemption as providing them with a legal means of creating accessible versions of textbooks to students identified as print disabled. While this approach offers a pragmatic solution to meeting the needs of students in a timely manner, very few of these local efforts include any embedded security (digital rights management) to ensure their limited distribution and use. Further, there is nothing in the Chafee exemption that requires the purchase of a print version of the textbook for students who are eligible for alternate format versions, although in practice the print version is purchased as an artifact of a site’s purchasing policies. </w:t>
      </w:r>
    </w:p>
    <w:p w14:paraId="460FFC75" w14:textId="77777777" w:rsidR="003D79E9" w:rsidRPr="00387AC4" w:rsidRDefault="003D79E9" w:rsidP="0023604C">
      <w:r w:rsidRPr="00387AC4">
        <w:t>Finally, as these localized accessible format creation efforts become more widespread, the determination of which students are actually eligible to receive these versions is often left to special education personnel who may or may not be fully aware of the constraints imposed by the Chafee exemption. Even when special educators are aware of the requirements, the division of students into “haves” and “have-nots” may appear arbitrary and capricious, and fundamentally inequitable. Faced with providing some students with accessible materials and not others, most educators will decide to support the equal access provisions of federal special education and disabilities law in favor of abiding by copyright constraints. This, in turn</w:t>
      </w:r>
      <w:r>
        <w:t>,</w:t>
      </w:r>
      <w:r w:rsidRPr="00387AC4">
        <w:t xml:space="preserve"> often begs the question of why these materials should not be made available to students who can certainly benefit from them, </w:t>
      </w:r>
      <w:r w:rsidRPr="00387AC4">
        <w:lastRenderedPageBreak/>
        <w:t xml:space="preserve">but who fall well outside the population sanctioned by Chafee (English Language Learners, for example). </w:t>
      </w:r>
    </w:p>
    <w:p w14:paraId="6E54FE4D" w14:textId="77777777" w:rsidR="003D79E9" w:rsidRPr="00387AC4" w:rsidRDefault="003D79E9" w:rsidP="0023604C">
      <w:r w:rsidRPr="00387AC4">
        <w:t>This cluster of challenges</w:t>
      </w:r>
      <w:r>
        <w:t>—</w:t>
      </w:r>
      <w:r w:rsidRPr="00387AC4">
        <w:t>the cost to publishers of responding to a myriad of state requirements with no compensation</w:t>
      </w:r>
      <w:r>
        <w:t>,</w:t>
      </w:r>
      <w:r w:rsidRPr="00387AC4">
        <w:t xml:space="preserve"> the widespread increase in unmonitored localized solutions that may negatively impact textbook sales, and increased pressure to extend the provision of these materials to an ever-widening circle of students</w:t>
      </w:r>
      <w:r>
        <w:t>—</w:t>
      </w:r>
      <w:r w:rsidRPr="00387AC4">
        <w:t xml:space="preserve">has created a significant challenge to the creation of a commercial solution. </w:t>
      </w:r>
    </w:p>
    <w:p w14:paraId="4DACBC18" w14:textId="77777777" w:rsidR="003D79E9" w:rsidRPr="00387AC4" w:rsidRDefault="003D79E9" w:rsidP="0023604C">
      <w:r w:rsidRPr="00387AC4">
        <w:t>A commercial solution offers one of the most compelling scenarios for the timely provision of high quality accessible textbooks to students with, or without, print disabilities. Many textbook publishers are now routinely acquiring the rights to reproduce materials digitally as well as in print. If states, districts, schools</w:t>
      </w:r>
      <w:r>
        <w:t>,</w:t>
      </w:r>
      <w:r w:rsidRPr="00387AC4">
        <w:t xml:space="preserve"> and classrooms were willing to purchase these materials in addition to or as an alternative to traditional print textbooks, it would eliminate the need to perpetuate ad hoc local solutions. Accessible commercial versions of textbooks could benefit from cooperative arrangements between existing third-party alternate formats organizations</w:t>
      </w:r>
      <w:r>
        <w:t>—</w:t>
      </w:r>
      <w:r w:rsidRPr="00387AC4">
        <w:t>experts in designing to meet the needs of their constituents</w:t>
      </w:r>
      <w:r>
        <w:t>—</w:t>
      </w:r>
      <w:r w:rsidRPr="00387AC4">
        <w:t>and commercial publishers, who themselves would be incented to invest in research and development to insure the high quality of these products. In order for commercial publishers to envision the viability of this type of “market” solution, they will need to perceive the willingness of states, districts</w:t>
      </w:r>
      <w:r>
        <w:t>,</w:t>
      </w:r>
      <w:r w:rsidRPr="00387AC4">
        <w:t xml:space="preserve"> and schools to purchase these materials. </w:t>
      </w:r>
    </w:p>
    <w:p w14:paraId="76B8C2C0" w14:textId="77777777" w:rsidR="003D79E9" w:rsidRPr="00387AC4" w:rsidRDefault="003D79E9" w:rsidP="0023604C">
      <w:r w:rsidRPr="00387AC4">
        <w:t xml:space="preserve">In </w:t>
      </w:r>
      <w:r w:rsidRPr="008C4521">
        <w:t>order</w:t>
      </w:r>
      <w:r w:rsidRPr="00387AC4">
        <w:t xml:space="preserve"> to address each of the three challenges listed above</w:t>
      </w:r>
      <w:r>
        <w:t>—</w:t>
      </w:r>
      <w:r w:rsidRPr="00387AC4">
        <w:t>technological, legislative</w:t>
      </w:r>
      <w:r>
        <w:t>,</w:t>
      </w:r>
      <w:r w:rsidRPr="00387AC4">
        <w:t xml:space="preserve"> and commercial</w:t>
      </w:r>
      <w:r>
        <w:t>—</w:t>
      </w:r>
      <w:r w:rsidRPr="00387AC4">
        <w:t>each stakeholder group will be required to shift and adapt its current practice.</w:t>
      </w:r>
    </w:p>
    <w:p w14:paraId="29143E61" w14:textId="77777777" w:rsidR="003D79E9" w:rsidRPr="00CE4656" w:rsidRDefault="003D79E9" w:rsidP="00542C20">
      <w:pPr>
        <w:pStyle w:val="Heading2"/>
      </w:pPr>
      <w:r w:rsidRPr="00CE4656">
        <w:t>Adjustments by Each Stakeholder Group Will Benefit All</w:t>
      </w:r>
    </w:p>
    <w:p w14:paraId="6D015569" w14:textId="35BACB98" w:rsidR="0023604C" w:rsidRPr="00B471A6" w:rsidRDefault="003D79E9" w:rsidP="00B471A6">
      <w:pPr>
        <w:pStyle w:val="Heading3"/>
      </w:pPr>
      <w:r w:rsidRPr="00B471A6">
        <w:t xml:space="preserve">Publishers </w:t>
      </w:r>
    </w:p>
    <w:p w14:paraId="08A9E82F" w14:textId="6736A091" w:rsidR="003D79E9" w:rsidRPr="00387AC4" w:rsidRDefault="003D79E9" w:rsidP="0023604C">
      <w:r w:rsidRPr="00387AC4">
        <w:t xml:space="preserve">Textbook publishers will need to develop the capacity to create properly formatted XML files. Some of the major publishing houses have already or are in the process of migrating to a digital (XML) workflow, and for these companies the creation of the agreed-upon source files will be an extension of an existing process. For publishers who do not have XML file creation capabilities or for whom that process would be cost prohibitive (smaller, supplemental publishers, for example), the creation of these files will be more problematic and will likely require new and innovative partnerships. All </w:t>
      </w:r>
      <w:r w:rsidRPr="00387AC4">
        <w:lastRenderedPageBreak/>
        <w:t xml:space="preserve">publishers will need to be provided with technical assistance, guidelines and models in order for them to create valid and </w:t>
      </w:r>
      <w:proofErr w:type="gramStart"/>
      <w:r w:rsidRPr="00387AC4">
        <w:t>properly-structured</w:t>
      </w:r>
      <w:proofErr w:type="gramEnd"/>
      <w:r w:rsidRPr="00387AC4">
        <w:t xml:space="preserve"> XML files. Finally, publishers will need t</w:t>
      </w:r>
      <w:r w:rsidRPr="0023604C">
        <w:t>o</w:t>
      </w:r>
      <w:r w:rsidRPr="00387AC4">
        <w:t xml:space="preserve"> be convinced that the technological investment will contain their current costs, facilitate their ability to respond to multiple state and local requirements, maintain quality, and align with intellectual property law. </w:t>
      </w:r>
    </w:p>
    <w:p w14:paraId="307660A2" w14:textId="77777777" w:rsidR="0023604C" w:rsidRPr="000977C5" w:rsidRDefault="003D79E9" w:rsidP="000977C5">
      <w:pPr>
        <w:pStyle w:val="Heading3"/>
      </w:pPr>
      <w:r w:rsidRPr="000977C5">
        <w:t xml:space="preserve">Third-Party Conversion Organizations </w:t>
      </w:r>
    </w:p>
    <w:p w14:paraId="793CF77C" w14:textId="4865E81D" w:rsidR="003D79E9" w:rsidRPr="00387AC4" w:rsidRDefault="003D79E9" w:rsidP="0023604C">
      <w:r w:rsidRPr="00387AC4">
        <w:t xml:space="preserve">Existing “Chafee Compliant” non-profit alternate format conversion organizations like Recording for the Blind and Dyslexic, </w:t>
      </w:r>
      <w:proofErr w:type="spellStart"/>
      <w:r w:rsidRPr="00387AC4">
        <w:t>BookShare</w:t>
      </w:r>
      <w:proofErr w:type="spellEnd"/>
      <w:r w:rsidRPr="00387AC4">
        <w:t>, American Printing House for the Blind, and others will need to envision strategic partnerships that place their expertise at the beginning of a publisher’s product cycle rather than just at the end of it. If publishers produce only print-based materials then the primary work of third-party organizations is the transformation of those print works into accessible formats. Once publishers are able to routinely produce digital files, however, the need for third-party conversion will diminish incrementally, while the opportunity to incorporate accommodations and alternatives directly into curriculum materials</w:t>
      </w:r>
      <w:r>
        <w:t>—</w:t>
      </w:r>
      <w:r w:rsidRPr="00387AC4">
        <w:t>a universal design approach</w:t>
      </w:r>
      <w:r>
        <w:t>—</w:t>
      </w:r>
      <w:r w:rsidRPr="00387AC4">
        <w:t>will concomitantly increase. A collaborative approach pairing the disability and alternate format expertise of the third-party conversion organizations with the editorial and instructional expertise of curriculum publishers will likely result in more innovative and accessible products than either organization could independently create.</w:t>
      </w:r>
    </w:p>
    <w:p w14:paraId="14D1C48E" w14:textId="77777777" w:rsidR="0023604C" w:rsidRPr="000977C5" w:rsidRDefault="003D79E9" w:rsidP="000977C5">
      <w:pPr>
        <w:pStyle w:val="Heading3"/>
      </w:pPr>
      <w:r w:rsidRPr="000977C5">
        <w:t xml:space="preserve">States, Districts, and Schools </w:t>
      </w:r>
    </w:p>
    <w:p w14:paraId="32EF5AE4" w14:textId="4E6E252C" w:rsidR="003D79E9" w:rsidRPr="00387AC4" w:rsidRDefault="003D79E9" w:rsidP="0023604C">
      <w:r w:rsidRPr="00387AC4">
        <w:t>Educators who teach and support students with disabilities will need to assess the benefits of embracing a more pro</w:t>
      </w:r>
      <w:r>
        <w:t>-</w:t>
      </w:r>
      <w:r w:rsidRPr="00387AC4">
        <w:t>active and systemic approach</w:t>
      </w:r>
      <w:r w:rsidRPr="0023604C">
        <w:t xml:space="preserve"> </w:t>
      </w:r>
      <w:r w:rsidRPr="00387AC4">
        <w:t>to acquiring alternate format materials for their students. While existing district or school-level solutions may address the immediate needs of individual students, in most instances these solutions are neither scalable no</w:t>
      </w:r>
      <w:r>
        <w:t>r</w:t>
      </w:r>
      <w:r w:rsidRPr="00387AC4">
        <w:t xml:space="preserve"> cost-efficient, they often yield curriculum materials of inferior quality, and, in some circumstances, these initiatives may violate copyright law. Further, and perhaps of most importance, these local content transformation efforts divert the efforts of education personnel away from the process of instruction. </w:t>
      </w:r>
    </w:p>
    <w:p w14:paraId="237EA6A2" w14:textId="173C20DD" w:rsidR="003D79E9" w:rsidRPr="00387AC4" w:rsidRDefault="003D79E9" w:rsidP="0023604C">
      <w:r w:rsidRPr="00387AC4">
        <w:t>States that have enacted accessible textbook legislation (</w:t>
      </w:r>
      <w:r w:rsidR="00A914AD">
        <w:t>b</w:t>
      </w:r>
      <w:r w:rsidRPr="00387AC4">
        <w:t xml:space="preserve">raille and beyond) are most likely to have also established centralized accessible textbook distribution systems to support those mandates. The purpose of these centralized approaches is to </w:t>
      </w:r>
      <w:r>
        <w:t>e</w:t>
      </w:r>
      <w:r w:rsidRPr="00387AC4">
        <w:t>nsure copyright compliance, quality, and timeliness</w:t>
      </w:r>
      <w:r>
        <w:t>,</w:t>
      </w:r>
      <w:r w:rsidRPr="00387AC4">
        <w:t xml:space="preserve"> and to minimize redundancy and inefficiency. In many circumstances the management and oversight of these systems by states also frees district and school education personnel from the process of retrofitting materials and allows them to redirect their time to instruction.</w:t>
      </w:r>
    </w:p>
    <w:p w14:paraId="4CCB6B78" w14:textId="77777777" w:rsidR="003D79E9" w:rsidRPr="00387AC4" w:rsidRDefault="003D79E9" w:rsidP="0023604C">
      <w:r w:rsidRPr="00387AC4">
        <w:lastRenderedPageBreak/>
        <w:t>To further institutionalize the expectation that students with print disabilities will be provided with accessible and appropriate alternate</w:t>
      </w:r>
      <w:r>
        <w:t>-</w:t>
      </w:r>
      <w:r w:rsidRPr="00387AC4">
        <w:t>format versions</w:t>
      </w:r>
      <w:r>
        <w:t>,</w:t>
      </w:r>
      <w:r w:rsidRPr="00387AC4">
        <w:t xml:space="preserve"> some states have added an additional consideration to their Individual Education Plan (IEP) and Section 505 Plan documents. Asking the site-based teams who best know the needs of individual students to document whether or not the student is eligible to receive accessible alternate format curriculum materials reinforces the expectation that these materials will be provided. </w:t>
      </w:r>
    </w:p>
    <w:p w14:paraId="32E6B389" w14:textId="77777777" w:rsidR="003D79E9" w:rsidRPr="00387AC4" w:rsidRDefault="003D79E9" w:rsidP="0023604C">
      <w:r w:rsidRPr="00387AC4">
        <w:t xml:space="preserve">Finally, as the requests </w:t>
      </w:r>
      <w:r>
        <w:t>and</w:t>
      </w:r>
      <w:r w:rsidRPr="00387AC4">
        <w:t xml:space="preserve"> requirements for accessible materials from states, districts</w:t>
      </w:r>
      <w:r>
        <w:t>,</w:t>
      </w:r>
      <w:r w:rsidRPr="00387AC4">
        <w:t xml:space="preserve"> and schools increase, these entities need to express their willingness to purchase these products. Textbooks and associated instructional materials can be made accessible by design, and the availability of these versions as market alternatives will only occur if the </w:t>
      </w:r>
      <w:r>
        <w:t>market is perceived as viable.</w:t>
      </w:r>
    </w:p>
    <w:p w14:paraId="5782598C" w14:textId="77777777" w:rsidR="003D79E9" w:rsidRPr="00CE4656" w:rsidRDefault="003D79E9" w:rsidP="00542C20">
      <w:pPr>
        <w:pStyle w:val="Heading2"/>
      </w:pPr>
      <w:r w:rsidRPr="00CE4656">
        <w:t>Accessible Textbooks: Reaching Every Student, Then Teaching Every Student</w:t>
      </w:r>
    </w:p>
    <w:p w14:paraId="3EB23457" w14:textId="77777777" w:rsidR="003D79E9" w:rsidRPr="00387AC4" w:rsidRDefault="003D79E9" w:rsidP="0023604C">
      <w:r w:rsidRPr="00387AC4">
        <w:t>While the primary purpose of establishing either a national alternate format distribution process or a market</w:t>
      </w:r>
      <w:r>
        <w:t>-</w:t>
      </w:r>
      <w:r w:rsidRPr="00387AC4">
        <w:t>based solution is to ensure the timely provision of accessible materials to students with disabilities, it is important to maintain the focus that these materials will be used to support the education of these students. From that perspective, it is important to address how, and to what extent, alternate, accessible versions of textbooks enhance student achievement. This emphasis on increasing the achievement of all students, including those with disabilities and other learning needs, is a hallmark of NCLB, and needs to be an active consideration as accessible, alternate format materials become more widely available.</w:t>
      </w:r>
    </w:p>
    <w:p w14:paraId="558EB755" w14:textId="77777777" w:rsidR="003D79E9" w:rsidRPr="00387AC4" w:rsidRDefault="003D79E9" w:rsidP="0023604C">
      <w:r w:rsidRPr="00387AC4">
        <w:t>As previously mentioned, the existing NIMAS initiative develop</w:t>
      </w:r>
      <w:r>
        <w:t>ed</w:t>
      </w:r>
      <w:r w:rsidRPr="00387AC4">
        <w:t xml:space="preserve"> within the constraints imposed by existing copyright law and the Section 121 exemption (Chafee Amendment) that address the needs of a specific subset of students with print disabilities. As referenced in the NIMAS version 1.0 report</w:t>
      </w:r>
      <w:r>
        <w:t>:</w:t>
      </w:r>
      <w:r w:rsidRPr="00CE4656">
        <w:rPr>
          <w:vertAlign w:val="superscript"/>
        </w:rPr>
        <w:footnoteReference w:id="18"/>
      </w:r>
    </w:p>
    <w:p w14:paraId="5F1C2DE4" w14:textId="77777777" w:rsidR="003D79E9" w:rsidRPr="00387AC4" w:rsidRDefault="003D79E9" w:rsidP="0023604C">
      <w:pPr>
        <w:pStyle w:val="Quote"/>
      </w:pPr>
      <w:r w:rsidRPr="00387AC4">
        <w:t xml:space="preserve">Students who manifest a print disability as the result of a physical or sensory impairment (blind, low vision and some learning disabled students) currently qualify, while students who may struggle equally to decipher or extract meaning </w:t>
      </w:r>
      <w:r w:rsidRPr="00387AC4">
        <w:lastRenderedPageBreak/>
        <w:t>from print (ADHD, Deaf and hard-of-hearing, students with limited cognitive of abilities, etc.) do not. (</w:t>
      </w:r>
      <w:proofErr w:type="gramStart"/>
      <w:r w:rsidRPr="00387AC4">
        <w:t>p</w:t>
      </w:r>
      <w:proofErr w:type="gramEnd"/>
      <w:r w:rsidRPr="00387AC4">
        <w:t>.36)</w:t>
      </w:r>
    </w:p>
    <w:p w14:paraId="571960E3" w14:textId="77777777" w:rsidR="003D79E9" w:rsidRPr="00387AC4" w:rsidRDefault="003D79E9" w:rsidP="0023604C">
      <w:r w:rsidRPr="00387AC4">
        <w:t xml:space="preserve">Regardless of which students are presently eligible to receive alternate format textbooks, the fact remains that the precedent-setting consensus building achieved by the </w:t>
      </w:r>
      <w:bookmarkStart w:id="4" w:name="OLE_LINK1"/>
      <w:r w:rsidRPr="00387AC4">
        <w:t>National File Format Technical Panel</w:t>
      </w:r>
      <w:bookmarkEnd w:id="4"/>
      <w:r w:rsidRPr="00387AC4">
        <w:t xml:space="preserve"> has established both a foundation for the creation of accessible, alternate format versions and the broad-based momentum necessary to deliver these versions to students who require them. In addition to states</w:t>
      </w:r>
      <w:r>
        <w:t>,</w:t>
      </w:r>
      <w:r w:rsidRPr="00387AC4">
        <w:t xml:space="preserve"> that have already referenced the adoption of NIMAS in their accessible textbook legislation, major publishing houses (</w:t>
      </w:r>
      <w:r>
        <w:t xml:space="preserve">such as </w:t>
      </w:r>
      <w:r w:rsidRPr="00387AC4">
        <w:t>Thom</w:t>
      </w:r>
      <w:r>
        <w:t>p</w:t>
      </w:r>
      <w:r w:rsidRPr="00387AC4">
        <w:t xml:space="preserve">son, Pearson, Houghton-Mifflin, McGraw-Hill) </w:t>
      </w:r>
      <w:r>
        <w:t xml:space="preserve">also </w:t>
      </w:r>
      <w:r w:rsidRPr="00387AC4">
        <w:t>have pledged NIMAS adoption as well. Further, major postsecondary publishers and a number o</w:t>
      </w:r>
      <w:r>
        <w:t>f</w:t>
      </w:r>
      <w:r w:rsidRPr="00387AC4">
        <w:t xml:space="preserve"> organizations working to secure accessible versions of college textbooks have indicated that they will adopt the NIMAS in their procurement processes.</w:t>
      </w:r>
    </w:p>
    <w:p w14:paraId="03A6D53C" w14:textId="77777777" w:rsidR="003D79E9" w:rsidRPr="00387AC4" w:rsidRDefault="003D79E9" w:rsidP="0023604C">
      <w:r w:rsidRPr="00387AC4">
        <w:t xml:space="preserve">This momentum towards a standardized approach raises a significant question: </w:t>
      </w:r>
      <w:r>
        <w:t xml:space="preserve"> </w:t>
      </w:r>
      <w:r w:rsidRPr="00387AC4">
        <w:t>since accessible versions of core curriculum print textbooks have previously not been available in sufficient quantities to measure their broad impact within the context of academic achievement, for both students with disabilities and those without, what impact do they have? It is known that students with a wide range of disabilities (including those who currently qualify as persons with print disabilities and those who do not) can benefit from technology-based instructional solutions, and some of this documentation was provided in the NIMAS Version 1.0 report</w:t>
      </w:r>
      <w:r>
        <w:t>.</w:t>
      </w:r>
      <w:r w:rsidRPr="00CE4656">
        <w:rPr>
          <w:vertAlign w:val="superscript"/>
        </w:rPr>
        <w:footnoteReference w:id="19"/>
      </w:r>
    </w:p>
    <w:p w14:paraId="324F206F" w14:textId="50B28A49" w:rsidR="003D79E9" w:rsidRPr="00387AC4" w:rsidRDefault="003D79E9" w:rsidP="0023604C">
      <w:r w:rsidRPr="00387AC4">
        <w:t>A recent extensive summary of research in this area has been prepared by the National Center on Accessing the General Curriculum (</w:t>
      </w:r>
      <w:proofErr w:type="spellStart"/>
      <w:r w:rsidRPr="00387AC4">
        <w:t>Strangman</w:t>
      </w:r>
      <w:proofErr w:type="spellEnd"/>
      <w:r w:rsidRPr="00387AC4">
        <w:t>, Hall</w:t>
      </w:r>
      <w:r w:rsidR="005A2E75">
        <w:t>,</w:t>
      </w:r>
      <w:r w:rsidRPr="00387AC4">
        <w:t xml:space="preserve"> &amp; Meyer 2003). Among many studies in this area are the following:</w:t>
      </w:r>
    </w:p>
    <w:p w14:paraId="209C20A9" w14:textId="6C6FF8CB" w:rsidR="003D79E9" w:rsidRPr="00387AC4" w:rsidRDefault="003D79E9" w:rsidP="0023604C">
      <w:pPr>
        <w:pStyle w:val="ListParagraph"/>
        <w:numPr>
          <w:ilvl w:val="0"/>
          <w:numId w:val="7"/>
        </w:numPr>
      </w:pPr>
      <w:r w:rsidRPr="00387AC4">
        <w:t>Students with language-related disabilities showed positive effects for word recognition, comprehension, and fluency when using digital texts with synthetic, syllable, or letter name-level synthetic speech transformations. (</w:t>
      </w:r>
      <w:proofErr w:type="spellStart"/>
      <w:r w:rsidRPr="00387AC4">
        <w:t>Elbro</w:t>
      </w:r>
      <w:proofErr w:type="spellEnd"/>
      <w:r w:rsidRPr="00387AC4">
        <w:t>, Rasmussen</w:t>
      </w:r>
      <w:r w:rsidR="005A2E75">
        <w:t>,</w:t>
      </w:r>
      <w:r>
        <w:t xml:space="preserve"> &amp;</w:t>
      </w:r>
      <w:r w:rsidRPr="00387AC4">
        <w:t xml:space="preserve"> Spelling, 1996)</w:t>
      </w:r>
    </w:p>
    <w:p w14:paraId="209DC12C" w14:textId="4181B6F5" w:rsidR="003D79E9" w:rsidRPr="00387AC4" w:rsidRDefault="003D79E9" w:rsidP="0023604C">
      <w:pPr>
        <w:pStyle w:val="ListParagraph"/>
        <w:numPr>
          <w:ilvl w:val="0"/>
          <w:numId w:val="7"/>
        </w:numPr>
      </w:pPr>
      <w:r w:rsidRPr="00387AC4">
        <w:t xml:space="preserve">Students with </w:t>
      </w:r>
      <w:proofErr w:type="spellStart"/>
      <w:r w:rsidRPr="00387AC4">
        <w:t>attentional</w:t>
      </w:r>
      <w:proofErr w:type="spellEnd"/>
      <w:r w:rsidRPr="00387AC4">
        <w:t>, organizational and learning disabilities have shown increased academic gain when exposed to technology-supported concept mapping strategies. (Anderson-Inman, Knox-Quinn</w:t>
      </w:r>
      <w:r w:rsidR="005A2E75">
        <w:t>,</w:t>
      </w:r>
      <w:r w:rsidRPr="00387AC4">
        <w:t xml:space="preserve"> &amp; Horney</w:t>
      </w:r>
      <w:proofErr w:type="gramStart"/>
      <w:r w:rsidRPr="00387AC4">
        <w:t>,1996</w:t>
      </w:r>
      <w:proofErr w:type="gramEnd"/>
      <w:r w:rsidRPr="00387AC4">
        <w:t xml:space="preserve">; </w:t>
      </w:r>
      <w:proofErr w:type="spellStart"/>
      <w:r w:rsidRPr="00387AC4">
        <w:t>Herl</w:t>
      </w:r>
      <w:proofErr w:type="spellEnd"/>
      <w:r w:rsidRPr="00387AC4">
        <w:t>, O</w:t>
      </w:r>
      <w:r>
        <w:t>’</w:t>
      </w:r>
      <w:r w:rsidRPr="00387AC4">
        <w:t>Neil, Chung</w:t>
      </w:r>
      <w:r w:rsidR="005A2E75">
        <w:t>,</w:t>
      </w:r>
      <w:r w:rsidRPr="00387AC4">
        <w:t xml:space="preserve"> &amp; </w:t>
      </w:r>
      <w:proofErr w:type="spellStart"/>
      <w:r w:rsidRPr="00387AC4">
        <w:t>Schacter</w:t>
      </w:r>
      <w:proofErr w:type="spellEnd"/>
      <w:r w:rsidRPr="00387AC4">
        <w:t>, 1999)</w:t>
      </w:r>
    </w:p>
    <w:p w14:paraId="5F087D4A" w14:textId="2854BB0F" w:rsidR="003D79E9" w:rsidRPr="00387AC4" w:rsidRDefault="003D79E9" w:rsidP="0023604C">
      <w:pPr>
        <w:pStyle w:val="ListParagraph"/>
        <w:numPr>
          <w:ilvl w:val="0"/>
          <w:numId w:val="7"/>
        </w:numPr>
      </w:pPr>
      <w:r w:rsidRPr="00387AC4">
        <w:lastRenderedPageBreak/>
        <w:t>Students who are Deaf or hard of hearing show consistent academic gains when provided with the sequential text highlighting and supportive captions available with digital instructional materials. (</w:t>
      </w:r>
      <w:proofErr w:type="spellStart"/>
      <w:r w:rsidRPr="00387AC4">
        <w:t>Mcinerney</w:t>
      </w:r>
      <w:proofErr w:type="spellEnd"/>
      <w:r w:rsidRPr="00387AC4">
        <w:t>, Riley</w:t>
      </w:r>
      <w:r w:rsidR="005A2E75">
        <w:t>,</w:t>
      </w:r>
      <w:r w:rsidRPr="00387AC4">
        <w:t xml:space="preserve"> &amp; </w:t>
      </w:r>
      <w:proofErr w:type="spellStart"/>
      <w:r w:rsidRPr="00387AC4">
        <w:t>Osher</w:t>
      </w:r>
      <w:proofErr w:type="spellEnd"/>
      <w:r w:rsidRPr="00387AC4">
        <w:t>, 1999; Andrews &amp; Jordan, 1997)</w:t>
      </w:r>
    </w:p>
    <w:p w14:paraId="2E557029" w14:textId="77777777" w:rsidR="00F92241" w:rsidRDefault="003D79E9" w:rsidP="0023604C">
      <w:pPr>
        <w:pStyle w:val="ListParagraph"/>
        <w:numPr>
          <w:ilvl w:val="0"/>
          <w:numId w:val="7"/>
        </w:numPr>
      </w:pPr>
      <w:r w:rsidRPr="00387AC4">
        <w:t>Students with low cognitive abilities demonstrate increased functional skills when exposed to flexible technologies that maximize their strengths while helping to compensate for their weaknesses. (</w:t>
      </w:r>
      <w:proofErr w:type="spellStart"/>
      <w:r w:rsidRPr="00387AC4">
        <w:t>Wehmeyer</w:t>
      </w:r>
      <w:proofErr w:type="spellEnd"/>
      <w:r w:rsidRPr="00387AC4">
        <w:t>, Smith, Palmer, Davies</w:t>
      </w:r>
      <w:r w:rsidR="005A2E75">
        <w:t>,</w:t>
      </w:r>
      <w:r w:rsidRPr="00387AC4">
        <w:t xml:space="preserve"> &amp; Stock, 2003; Carroll, 1993)</w:t>
      </w:r>
    </w:p>
    <w:p w14:paraId="270EAD21" w14:textId="1EBCAC43" w:rsidR="003D79E9" w:rsidRPr="0023604C" w:rsidRDefault="003D79E9" w:rsidP="00F92241">
      <w:pPr>
        <w:ind w:left="360"/>
      </w:pPr>
      <w:r w:rsidRPr="00F92241">
        <w:rPr>
          <w:i/>
        </w:rPr>
        <w:t>(NIMAS Version 1.0, p. 36)</w:t>
      </w:r>
    </w:p>
    <w:p w14:paraId="79148E45" w14:textId="78C578F3" w:rsidR="003D79E9" w:rsidRPr="00387AC4" w:rsidRDefault="003D79E9" w:rsidP="0023604C">
      <w:r w:rsidRPr="00387AC4">
        <w:t xml:space="preserve">We know that visually impaired students cannot see words or images, and that alternate format versions, specifically digital, can more easily be converted to </w:t>
      </w:r>
      <w:r w:rsidR="00A914AD">
        <w:t>b</w:t>
      </w:r>
      <w:r w:rsidRPr="00387AC4">
        <w:t xml:space="preserve">raille or voice with text descriptions of images. Students who cannot hold a print book or turn its </w:t>
      </w:r>
      <w:proofErr w:type="gramStart"/>
      <w:r w:rsidRPr="00387AC4">
        <w:t>pages,</w:t>
      </w:r>
      <w:proofErr w:type="gramEnd"/>
      <w:r w:rsidRPr="00387AC4">
        <w:t xml:space="preserve"> benefit from the virtual “pages” of a digital book can be turned with a key press or a switch. </w:t>
      </w:r>
      <w:proofErr w:type="gramStart"/>
      <w:r w:rsidRPr="00387AC4">
        <w:t>Students</w:t>
      </w:r>
      <w:proofErr w:type="gramEnd"/>
      <w:r w:rsidRPr="00387AC4">
        <w:t xml:space="preserve"> who cannot decode the text, can benefit from any words read aloud by a computer. Going beyond baseline accessibility, students who lack background vocabulary can benefit from definitions (in English or another language) that can be readily provided. Moving beyond accessibility, digital texts can also be embedded with supports for syntax, semantics, and comprehension </w:t>
      </w:r>
      <w:r w:rsidRPr="00387AC4">
        <w:fldChar w:fldCharType="begin">
          <w:fldData xml:space="preserve">RgA3ADgAMAAzAEYARABEADAAMAA5AEMAQQAzADYAOAA1ADYAMQAwADAAMAAwADgAMwAyAEMARgA2
ADUANgBFADcAMgA2ADYAMAAwADMARQBCADAANQBDAEQAMAAwADAAMABCADgANgAyADQAMAAyADAA
MAAwADAAMAAwADMAMQAzADEANAAzADgAQwA0ADgAMAAyADAAMAAwADAAMAAwADIANwA1AEIANAAy
ADYARgA2AEYANgBFADYANQAyAEMAMgAwADMAMQAzADkAMwA5ADMAMwAyADAAMgAzADMAMwAzADIA
MwBCADIAMAA0AEQANgAxADYAMwA0ADEANwAyADcANAA2ADgANwA1ADcAMgAyAEMAMgAwADMAMQAz
ADkAMwA5ADMANQAyADAAMgAzADMANgAzADIANQBEADAAMAAwAEMAMAAwADAAMAAwADAA
</w:fldData>
        </w:fldChar>
      </w:r>
      <w:r w:rsidRPr="00387AC4">
        <w:instrText xml:space="preserve"> ADDIN ENRfu </w:instrText>
      </w:r>
      <w:r w:rsidRPr="00387AC4">
        <w:fldChar w:fldCharType="separate"/>
      </w:r>
      <w:r w:rsidRPr="00387AC4">
        <w:t>(Boone &amp; Higgins, 1993; Dalton, Pisha, Eagleton, Coyne</w:t>
      </w:r>
      <w:r w:rsidR="005A2E75">
        <w:t>,</w:t>
      </w:r>
      <w:r w:rsidRPr="00387AC4">
        <w:t xml:space="preserve"> &amp; Deysher, 2001; MacArthur &amp; Haynes, 1995)</w:t>
      </w:r>
      <w:r w:rsidRPr="00387AC4">
        <w:fldChar w:fldCharType="end"/>
      </w:r>
      <w:r w:rsidRPr="00387AC4">
        <w:t>.</w:t>
      </w:r>
    </w:p>
    <w:p w14:paraId="24A2F19E" w14:textId="5F391630" w:rsidR="003D79E9" w:rsidRPr="00387AC4" w:rsidRDefault="003D79E9" w:rsidP="0023604C">
      <w:r w:rsidRPr="00387AC4">
        <w:t xml:space="preserve">The advantage of digital source files is that these alternatives, and many others, can be created from them and made available on an individual student basis. These versions then become available for students who require them, and, ultimately, an option for students who may prefer them. They enable teachers to individualize materials in previously unimaginable ways </w:t>
      </w:r>
      <w:r w:rsidRPr="00387AC4">
        <w:fldChar w:fldCharType="begin">
          <w:fldData xml:space="preserve">QgA3ADEANwA2ADcAQQA5ADAAMABCAEUAQQAzADYAOAA1ADYAMQAwADAAMAAwADgAMwAyAEMARgA2
ADUANgBFADcAMgA2ADYAMAAwADMARQBCADAANQBDAEQAMAAwADAAMABCADgANgA0ADIAMAAyADAA
MAAwADAAMAAwADMAMgA2ADMARgA3ADQAOQAzADQAMAAyADAAMAAwADAAMAAwADMAOAA1AEIANAA4
ADYAMQA3ADkAMgBDADIAMAAzADEAMwA5ADMAOQAzADcAMgAwADIAMwAzADEAMwAxADMANwAzAEIA
MgAwADQAQwA2ADUANwA3ADYAOQA2AEUAMgBDADIAMAAzADIAMwAwADMAMAAzADAAMgAwADIAMwAz
ADEAMwAzADMANAAzAEIAMgAwADQARAA2ADEANgAzADQAMQA3ADIANwA0ADYAOAA3ADUANwAyADIA
QwAyADAAMwAxADMAOQAzADkAMwA1ADIAMAAyADMAMwA2ADMAMgA1AEQAMAAwADAAQwAwADAAMAAw
ADAAMAA=
</w:fldData>
        </w:fldChar>
      </w:r>
      <w:r w:rsidRPr="00387AC4">
        <w:instrText xml:space="preserve"> ADDIN ENRfu </w:instrText>
      </w:r>
      <w:r w:rsidRPr="00387AC4">
        <w:fldChar w:fldCharType="separate"/>
      </w:r>
      <w:r w:rsidRPr="00387AC4">
        <w:t xml:space="preserve">(Hay, 1997; Lewin, 2000; MacArthur </w:t>
      </w:r>
      <w:r>
        <w:t>et al.</w:t>
      </w:r>
      <w:r w:rsidRPr="00387AC4">
        <w:t>, 1995)</w:t>
      </w:r>
      <w:r w:rsidRPr="00387AC4">
        <w:fldChar w:fldCharType="end"/>
      </w:r>
      <w:r w:rsidRPr="00387AC4">
        <w:t xml:space="preserve">. Customized alternatives can substantially reduce the barriers found in traditional texts, and research evidence demonstrates the benefits of using such digital materials in the classroom </w:t>
      </w:r>
      <w:r w:rsidRPr="00387AC4">
        <w:fldChar w:fldCharType="begin">
          <w:fldData xml:space="preserve">RgA3AEMAMQBGAEQANwBDADAAMQAzADAAQQAzADYAOAA1ADYAMQAwADAAMAAwADgAMwAyAEMARgA2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</w:fldData>
        </w:fldChar>
      </w:r>
      <w:r w:rsidRPr="00387AC4">
        <w:instrText xml:space="preserve"> ADDIN ENRfu </w:instrText>
      </w:r>
      <w:r w:rsidRPr="00387AC4">
        <w:fldChar w:fldCharType="separate"/>
      </w:r>
      <w:r w:rsidRPr="00387AC4">
        <w:t>(Barker &amp; Torgesen, 1995; Bottge, 1999; Dalton et al., 2001; Erdner, Guy</w:t>
      </w:r>
      <w:r w:rsidR="005A2E75">
        <w:t>,</w:t>
      </w:r>
      <w:r w:rsidRPr="00387AC4">
        <w:t xml:space="preserve"> &amp; Bush, 1998; MacArthur </w:t>
      </w:r>
      <w:r>
        <w:t>et al.</w:t>
      </w:r>
      <w:r w:rsidRPr="00387AC4">
        <w:t>, 1995; Wise, Ring</w:t>
      </w:r>
      <w:r w:rsidR="005A2E75">
        <w:t>,</w:t>
      </w:r>
      <w:r w:rsidRPr="00387AC4">
        <w:t xml:space="preserve"> &amp; Olson, 1999)</w:t>
      </w:r>
      <w:r w:rsidRPr="00387AC4">
        <w:fldChar w:fldCharType="end"/>
      </w:r>
      <w:r w:rsidRPr="00387AC4">
        <w:t>.</w:t>
      </w:r>
    </w:p>
    <w:p w14:paraId="1A1BFA51" w14:textId="77777777" w:rsidR="003D79E9" w:rsidRPr="00CE4656" w:rsidRDefault="003D79E9" w:rsidP="00542C20">
      <w:pPr>
        <w:pStyle w:val="Heading2"/>
      </w:pPr>
      <w:r w:rsidRPr="00CE4656">
        <w:t>Conclusion</w:t>
      </w:r>
    </w:p>
    <w:p w14:paraId="3E5EA694" w14:textId="4ABE0B19" w:rsidR="003D79E9" w:rsidRPr="00387AC4" w:rsidRDefault="003D79E9" w:rsidP="0023604C">
      <w:r w:rsidRPr="00387AC4">
        <w:t>Technological advances during the past fifty years have resulted in alternate</w:t>
      </w:r>
      <w:r>
        <w:t>-</w:t>
      </w:r>
      <w:r w:rsidRPr="00387AC4">
        <w:t xml:space="preserve">format materials, providing those with disabilities new access to a world of information and ideas that traditionally has been restricted to printed text. Consistent </w:t>
      </w:r>
      <w:r w:rsidR="00A914AD">
        <w:t>b</w:t>
      </w:r>
      <w:r w:rsidRPr="00387AC4">
        <w:t xml:space="preserve">raille formatting, high-quality audio versions, synthetic speech, and electronic text are just some examples. Because it offers significantly increased flexibility and enables rapid transformations from one media type to another, electronic text in particular is emerging </w:t>
      </w:r>
      <w:r w:rsidRPr="00387AC4">
        <w:lastRenderedPageBreak/>
        <w:t>as the foundation of a revolutionary approach to the provision of alternate</w:t>
      </w:r>
      <w:r>
        <w:t>-</w:t>
      </w:r>
      <w:r w:rsidRPr="00387AC4">
        <w:t>format materials</w:t>
      </w:r>
      <w:r>
        <w:t>.</w:t>
      </w:r>
      <w:r w:rsidRPr="00387AC4">
        <w:t xml:space="preserve"> As that approach is realized, students with disabilities will be provided with a wide range of accessible and individualized learning materials; materials that have been extracted from a single digital source file. The efficiency of this approach is immediately apparent, and while there are numerous legal, commercial</w:t>
      </w:r>
      <w:r>
        <w:t>,</w:t>
      </w:r>
      <w:r w:rsidRPr="00387AC4">
        <w:t xml:space="preserve"> and technological issues to be overcome, everyone stands to gain from achieving a solution. </w:t>
      </w:r>
    </w:p>
    <w:p w14:paraId="50295B99" w14:textId="77777777" w:rsidR="003D79E9" w:rsidRPr="00CE4656" w:rsidRDefault="003D79E9" w:rsidP="00542C20">
      <w:pPr>
        <w:pStyle w:val="Heading2"/>
      </w:pPr>
      <w:r w:rsidRPr="00CE4656">
        <w:t>Bibliography</w:t>
      </w:r>
    </w:p>
    <w:p w14:paraId="5DABE2A2" w14:textId="736F25A2" w:rsidR="003D79E9" w:rsidRPr="00387AC4" w:rsidRDefault="003D79E9" w:rsidP="0023604C">
      <w:pPr>
        <w:pStyle w:val="References"/>
      </w:pPr>
      <w:proofErr w:type="spellStart"/>
      <w:r w:rsidRPr="00387AC4">
        <w:t>Abell</w:t>
      </w:r>
      <w:proofErr w:type="spellEnd"/>
      <w:r w:rsidRPr="00387AC4">
        <w:t xml:space="preserve">, M., </w:t>
      </w:r>
      <w:proofErr w:type="spellStart"/>
      <w:r w:rsidRPr="00387AC4">
        <w:t>Bauder</w:t>
      </w:r>
      <w:proofErr w:type="spellEnd"/>
      <w:r w:rsidRPr="00387AC4">
        <w:t>, D.</w:t>
      </w:r>
      <w:r>
        <w:t xml:space="preserve"> &amp; </w:t>
      </w:r>
      <w:r w:rsidRPr="00387AC4">
        <w:t xml:space="preserve">Simmons, </w:t>
      </w:r>
      <w:proofErr w:type="gramStart"/>
      <w:r w:rsidRPr="00387AC4">
        <w:t>T.</w:t>
      </w:r>
      <w:proofErr w:type="gramEnd"/>
      <w:r>
        <w:t xml:space="preserve"> (2004</w:t>
      </w:r>
      <w:r w:rsidR="005A2E75">
        <w:t>, August</w:t>
      </w:r>
      <w:r>
        <w:t>)</w:t>
      </w:r>
      <w:r w:rsidRPr="00387AC4">
        <w:t xml:space="preserve"> </w:t>
      </w:r>
      <w:r>
        <w:t>Universally Designed Online Assessment:  Implications for the Future.</w:t>
      </w:r>
      <w:r w:rsidRPr="00387AC4">
        <w:t xml:space="preserve"> </w:t>
      </w:r>
      <w:r w:rsidRPr="00541400">
        <w:rPr>
          <w:i/>
        </w:rPr>
        <w:t>Information Technology and Disabilitie</w:t>
      </w:r>
      <w:r w:rsidR="005A2E75">
        <w:rPr>
          <w:i/>
        </w:rPr>
        <w:t>s,</w:t>
      </w:r>
      <w:r w:rsidR="005A2E75" w:rsidRPr="005A2E75">
        <w:rPr>
          <w:i/>
        </w:rPr>
        <w:t xml:space="preserve"> </w:t>
      </w:r>
      <w:proofErr w:type="gramStart"/>
      <w:r w:rsidR="005A2E75" w:rsidRPr="005A2E75">
        <w:rPr>
          <w:i/>
        </w:rPr>
        <w:t>X</w:t>
      </w:r>
      <w:r w:rsidR="005A2E75">
        <w:t>(</w:t>
      </w:r>
      <w:proofErr w:type="gramEnd"/>
      <w:r w:rsidR="005A2E75">
        <w:t>1).</w:t>
      </w:r>
    </w:p>
    <w:p w14:paraId="262249D4" w14:textId="40DCFECA" w:rsidR="003D79E9" w:rsidRPr="00387AC4" w:rsidRDefault="003D79E9" w:rsidP="0023604C">
      <w:pPr>
        <w:pStyle w:val="References"/>
      </w:pPr>
      <w:proofErr w:type="gramStart"/>
      <w:r w:rsidRPr="00387AC4">
        <w:t>Adler, A.</w:t>
      </w:r>
      <w:r>
        <w:t xml:space="preserve"> (2002)</w:t>
      </w:r>
      <w:r w:rsidRPr="00387AC4">
        <w:t xml:space="preserve"> AAPs Perspective on Accessible Curriculum Materials for K</w:t>
      </w:r>
      <w:r>
        <w:t>–</w:t>
      </w:r>
      <w:r w:rsidRPr="00387AC4">
        <w:t>12 Classrooms</w:t>
      </w:r>
      <w:r w:rsidR="005A2E75">
        <w:t>.</w:t>
      </w:r>
      <w:proofErr w:type="gramEnd"/>
      <w:r w:rsidR="005A2E75">
        <w:t xml:space="preserve"> Wakefield, MA: National Center on Accessing the General Curriculum. </w:t>
      </w:r>
    </w:p>
    <w:p w14:paraId="0C770FDA" w14:textId="79276538" w:rsidR="003D79E9" w:rsidRPr="00387AC4" w:rsidRDefault="003D79E9" w:rsidP="0023604C">
      <w:pPr>
        <w:pStyle w:val="References"/>
      </w:pPr>
      <w:proofErr w:type="gramStart"/>
      <w:r w:rsidRPr="00387AC4">
        <w:t>Anderson-Inman, L., Knox-Quinn, C.</w:t>
      </w:r>
      <w:r w:rsidR="005A2E75">
        <w:t>,</w:t>
      </w:r>
      <w:r>
        <w:t xml:space="preserve"> &amp; Horney, M.</w:t>
      </w:r>
      <w:r w:rsidR="005A2E75">
        <w:t xml:space="preserve"> </w:t>
      </w:r>
      <w:r w:rsidRPr="00387AC4">
        <w:t>A. (1996).</w:t>
      </w:r>
      <w:proofErr w:type="gramEnd"/>
      <w:r w:rsidRPr="00387AC4">
        <w:t xml:space="preserve"> Computer-based study strategies for students with learning disabilities: </w:t>
      </w:r>
      <w:r>
        <w:t xml:space="preserve"> </w:t>
      </w:r>
      <w:r w:rsidRPr="00387AC4">
        <w:t xml:space="preserve">Individual differences associated with adoption level. </w:t>
      </w:r>
      <w:r w:rsidRPr="00A32C4C">
        <w:rPr>
          <w:i/>
        </w:rPr>
        <w:t>Journal of Learning Disabilities, 29</w:t>
      </w:r>
      <w:r>
        <w:t>(</w:t>
      </w:r>
      <w:r w:rsidRPr="00387AC4">
        <w:t>5</w:t>
      </w:r>
      <w:r>
        <w:t>)</w:t>
      </w:r>
      <w:r w:rsidRPr="00387AC4">
        <w:t xml:space="preserve"> 461</w:t>
      </w:r>
      <w:r w:rsidR="00E536CD">
        <w:t>–</w:t>
      </w:r>
      <w:r w:rsidRPr="00387AC4">
        <w:t>484.</w:t>
      </w:r>
    </w:p>
    <w:p w14:paraId="4EA7DCC3" w14:textId="77630D60" w:rsidR="003D79E9" w:rsidRPr="00387AC4" w:rsidRDefault="003D79E9" w:rsidP="0023604C">
      <w:pPr>
        <w:pStyle w:val="References"/>
      </w:pPr>
      <w:r w:rsidRPr="00387AC4">
        <w:t xml:space="preserve">Andrews, J. &amp; Jordan, D. (1997). </w:t>
      </w:r>
      <w:proofErr w:type="gramStart"/>
      <w:r w:rsidRPr="00A32C4C">
        <w:rPr>
          <w:i/>
        </w:rPr>
        <w:t>Multimedia, language learning, and Hispanic-Deaf students.</w:t>
      </w:r>
      <w:proofErr w:type="gramEnd"/>
      <w:r w:rsidRPr="00387AC4">
        <w:t xml:space="preserve"> </w:t>
      </w:r>
      <w:r w:rsidR="005A2E75">
        <w:t xml:space="preserve">Beaumont, TX: </w:t>
      </w:r>
      <w:r w:rsidRPr="00387AC4">
        <w:t>Lamar University.</w:t>
      </w:r>
    </w:p>
    <w:p w14:paraId="18CCF205" w14:textId="2E051BC7" w:rsidR="003D79E9" w:rsidRPr="00387AC4" w:rsidRDefault="003D79E9" w:rsidP="0023604C">
      <w:pPr>
        <w:pStyle w:val="References"/>
      </w:pPr>
      <w:proofErr w:type="gramStart"/>
      <w:r>
        <w:t>Barker, T.</w:t>
      </w:r>
      <w:r w:rsidR="005A2E75">
        <w:t xml:space="preserve"> </w:t>
      </w:r>
      <w:r>
        <w:t xml:space="preserve">A. &amp; </w:t>
      </w:r>
      <w:proofErr w:type="spellStart"/>
      <w:r>
        <w:t>Torgesen</w:t>
      </w:r>
      <w:proofErr w:type="spellEnd"/>
      <w:r>
        <w:t>, J.</w:t>
      </w:r>
      <w:r w:rsidR="005A2E75">
        <w:t xml:space="preserve"> </w:t>
      </w:r>
      <w:r w:rsidRPr="00387AC4">
        <w:t>K. (1995).</w:t>
      </w:r>
      <w:proofErr w:type="gramEnd"/>
      <w:r w:rsidRPr="00387AC4">
        <w:t xml:space="preserve"> </w:t>
      </w:r>
      <w:proofErr w:type="gramStart"/>
      <w:r w:rsidRPr="00387AC4">
        <w:t>An evaluation of computer-assisted instruction in phonological awareness with below average readers.</w:t>
      </w:r>
      <w:proofErr w:type="gramEnd"/>
      <w:r w:rsidRPr="00387AC4">
        <w:t xml:space="preserve"> </w:t>
      </w:r>
      <w:r w:rsidRPr="00A12590">
        <w:rPr>
          <w:i/>
        </w:rPr>
        <w:t>Journal of Educational Computing Research, 13</w:t>
      </w:r>
      <w:r w:rsidRPr="00387AC4">
        <w:t>(1), 89</w:t>
      </w:r>
      <w:r w:rsidR="00E536CD">
        <w:t>–</w:t>
      </w:r>
      <w:r w:rsidRPr="00387AC4">
        <w:t>103.</w:t>
      </w:r>
    </w:p>
    <w:p w14:paraId="096D60BE" w14:textId="15077D88" w:rsidR="003D79E9" w:rsidRPr="00387AC4" w:rsidRDefault="003D79E9" w:rsidP="0023604C">
      <w:pPr>
        <w:pStyle w:val="References"/>
      </w:pPr>
      <w:proofErr w:type="spellStart"/>
      <w:proofErr w:type="gramStart"/>
      <w:r w:rsidRPr="00387AC4">
        <w:t>Beirne</w:t>
      </w:r>
      <w:proofErr w:type="spellEnd"/>
      <w:r w:rsidRPr="00387AC4">
        <w:t xml:space="preserve">-Smith, M., </w:t>
      </w:r>
      <w:proofErr w:type="spellStart"/>
      <w:r w:rsidRPr="00387AC4">
        <w:t>Ittenbach</w:t>
      </w:r>
      <w:proofErr w:type="spellEnd"/>
      <w:r w:rsidRPr="00387AC4">
        <w:t xml:space="preserve">, </w:t>
      </w:r>
      <w:r>
        <w:t>R</w:t>
      </w:r>
      <w:r w:rsidRPr="00387AC4">
        <w:t>. &amp; Patton, J.</w:t>
      </w:r>
      <w:r w:rsidR="005A2E75">
        <w:t xml:space="preserve"> </w:t>
      </w:r>
      <w:r w:rsidRPr="00387AC4">
        <w:t>R. (1998).</w:t>
      </w:r>
      <w:proofErr w:type="gramEnd"/>
      <w:r w:rsidRPr="00387AC4">
        <w:t xml:space="preserve"> </w:t>
      </w:r>
      <w:proofErr w:type="gramStart"/>
      <w:r w:rsidRPr="00A32C4C">
        <w:rPr>
          <w:i/>
        </w:rPr>
        <w:t xml:space="preserve">Mental </w:t>
      </w:r>
      <w:r w:rsidRPr="008F065D">
        <w:rPr>
          <w:i/>
        </w:rPr>
        <w:t>retardation (5th ed.)</w:t>
      </w:r>
      <w:r w:rsidRPr="00387AC4">
        <w:t>.</w:t>
      </w:r>
      <w:proofErr w:type="gramEnd"/>
      <w:r w:rsidRPr="00387AC4">
        <w:t xml:space="preserve"> Upper Saddle River, NJ:</w:t>
      </w:r>
      <w:r>
        <w:t xml:space="preserve"> </w:t>
      </w:r>
      <w:r w:rsidRPr="00387AC4">
        <w:t>Prentice Hall.</w:t>
      </w:r>
    </w:p>
    <w:p w14:paraId="442511F8" w14:textId="5B6794E2" w:rsidR="003D79E9" w:rsidRPr="00387AC4" w:rsidRDefault="003D79E9" w:rsidP="0023604C">
      <w:pPr>
        <w:pStyle w:val="References"/>
      </w:pPr>
      <w:r w:rsidRPr="00387AC4">
        <w:t xml:space="preserve">Boone, R. &amp; Higgins, K. (1993). Hypermedia basal readers: </w:t>
      </w:r>
      <w:r>
        <w:t xml:space="preserve"> </w:t>
      </w:r>
      <w:r w:rsidRPr="00387AC4">
        <w:t xml:space="preserve">Three years of school-based research. </w:t>
      </w:r>
      <w:r w:rsidRPr="00E26C63">
        <w:rPr>
          <w:i/>
        </w:rPr>
        <w:t>Journal of Special Education Technology, 7</w:t>
      </w:r>
      <w:r w:rsidRPr="00387AC4">
        <w:t>(2), 86</w:t>
      </w:r>
      <w:r w:rsidR="00E536CD">
        <w:t>–</w:t>
      </w:r>
      <w:r w:rsidRPr="00387AC4">
        <w:t>106.</w:t>
      </w:r>
    </w:p>
    <w:p w14:paraId="5D2F32BB" w14:textId="2FC79112" w:rsidR="003D79E9" w:rsidRPr="00387AC4" w:rsidRDefault="003D79E9" w:rsidP="0023604C">
      <w:pPr>
        <w:pStyle w:val="References"/>
      </w:pPr>
      <w:proofErr w:type="spellStart"/>
      <w:r w:rsidRPr="00387AC4">
        <w:t>Bottge</w:t>
      </w:r>
      <w:proofErr w:type="spellEnd"/>
      <w:r w:rsidRPr="00387AC4">
        <w:t xml:space="preserve">, B. (1999). Effects of contextualized math instruction on problem solving of average and below-average achieving students. </w:t>
      </w:r>
      <w:r w:rsidRPr="00A12590">
        <w:rPr>
          <w:i/>
        </w:rPr>
        <w:t>Journal of Special Education, 33</w:t>
      </w:r>
      <w:r w:rsidRPr="00387AC4">
        <w:t>(2), 81</w:t>
      </w:r>
      <w:r w:rsidR="00E536CD">
        <w:t>–</w:t>
      </w:r>
      <w:r w:rsidRPr="00387AC4">
        <w:t>92.</w:t>
      </w:r>
    </w:p>
    <w:p w14:paraId="76BA0F64" w14:textId="655CEF28" w:rsidR="003D79E9" w:rsidRPr="002B04B1" w:rsidRDefault="003D79E9" w:rsidP="0023604C">
      <w:pPr>
        <w:pStyle w:val="References"/>
      </w:pPr>
      <w:r w:rsidRPr="00387AC4">
        <w:t>Bowe, F</w:t>
      </w:r>
      <w:r>
        <w:t>.</w:t>
      </w:r>
      <w:r w:rsidRPr="00387AC4">
        <w:t xml:space="preserve"> (</w:t>
      </w:r>
      <w:r w:rsidR="005A2E75">
        <w:t>2000</w:t>
      </w:r>
      <w:r w:rsidRPr="00387AC4">
        <w:t xml:space="preserve">). </w:t>
      </w:r>
      <w:r w:rsidRPr="00541400">
        <w:rPr>
          <w:i/>
        </w:rPr>
        <w:t>Universal Design in Education:  Teaching Non-Traditional Students</w:t>
      </w:r>
      <w:r w:rsidRPr="00387AC4">
        <w:t xml:space="preserve">. </w:t>
      </w:r>
      <w:r w:rsidR="005A2E75">
        <w:t xml:space="preserve">Westport, CT: Greenwood Press. </w:t>
      </w:r>
    </w:p>
    <w:p w14:paraId="5AED58E7" w14:textId="059A393C" w:rsidR="003D79E9" w:rsidRPr="00387AC4" w:rsidRDefault="003D79E9" w:rsidP="0023604C">
      <w:pPr>
        <w:pStyle w:val="References"/>
      </w:pPr>
      <w:r w:rsidRPr="00387AC4">
        <w:t>Carroll, J.</w:t>
      </w:r>
      <w:r w:rsidR="005A2E75">
        <w:t xml:space="preserve"> </w:t>
      </w:r>
      <w:r w:rsidRPr="00387AC4">
        <w:t xml:space="preserve">B. (1993). </w:t>
      </w:r>
      <w:r w:rsidRPr="00A32C4C">
        <w:rPr>
          <w:i/>
        </w:rPr>
        <w:t>Human cognitive abilities:  A survey of factor-analytical studies</w:t>
      </w:r>
      <w:r w:rsidRPr="00387AC4">
        <w:t>. New York: Cambridge University Press.</w:t>
      </w:r>
    </w:p>
    <w:p w14:paraId="5E786D35" w14:textId="77777777" w:rsidR="003D79E9" w:rsidRPr="00387AC4" w:rsidRDefault="003D79E9" w:rsidP="0023604C">
      <w:pPr>
        <w:pStyle w:val="References"/>
      </w:pPr>
      <w:r>
        <w:t xml:space="preserve">Dalton, B. (2003). </w:t>
      </w:r>
      <w:r w:rsidRPr="00387AC4">
        <w:t xml:space="preserve">Universal Learning Environments: </w:t>
      </w:r>
      <w:r>
        <w:t xml:space="preserve"> </w:t>
      </w:r>
      <w:r w:rsidRPr="00387AC4">
        <w:t xml:space="preserve">Closing the gap for struggling readers and at-risk students, </w:t>
      </w:r>
      <w:r w:rsidRPr="00D03799">
        <w:rPr>
          <w:i/>
        </w:rPr>
        <w:t>Technology in Literacy Resource</w:t>
      </w:r>
      <w:r>
        <w:rPr>
          <w:i/>
        </w:rPr>
        <w:t>.</w:t>
      </w:r>
      <w:r w:rsidRPr="00387AC4">
        <w:t xml:space="preserve"> </w:t>
      </w:r>
    </w:p>
    <w:p w14:paraId="4D027B8C" w14:textId="730A116E" w:rsidR="003D79E9" w:rsidRPr="00387AC4" w:rsidRDefault="003D79E9" w:rsidP="0023604C">
      <w:pPr>
        <w:pStyle w:val="References"/>
      </w:pPr>
      <w:r w:rsidRPr="00387AC4">
        <w:t xml:space="preserve">Dalton, B., </w:t>
      </w:r>
      <w:proofErr w:type="spellStart"/>
      <w:r w:rsidRPr="00387AC4">
        <w:t>Pisha</w:t>
      </w:r>
      <w:proofErr w:type="spellEnd"/>
      <w:r w:rsidRPr="00387AC4">
        <w:t>, B., Eagleton, M., Coyne, P.</w:t>
      </w:r>
      <w:r w:rsidR="005A2E75">
        <w:t>,</w:t>
      </w:r>
      <w:r w:rsidRPr="00387AC4">
        <w:t xml:space="preserve"> &amp; </w:t>
      </w:r>
      <w:proofErr w:type="spellStart"/>
      <w:r w:rsidRPr="00387AC4">
        <w:t>Deysher</w:t>
      </w:r>
      <w:proofErr w:type="spellEnd"/>
      <w:r w:rsidRPr="00387AC4">
        <w:t xml:space="preserve">, S. (2001). </w:t>
      </w:r>
      <w:r w:rsidRPr="00E26C63">
        <w:rPr>
          <w:i/>
        </w:rPr>
        <w:t xml:space="preserve">Engaging the text:  Reciprocal teaching and questioning strategies in a </w:t>
      </w:r>
      <w:proofErr w:type="spellStart"/>
      <w:r w:rsidRPr="00E26C63">
        <w:rPr>
          <w:i/>
        </w:rPr>
        <w:t>scaffolded</w:t>
      </w:r>
      <w:proofErr w:type="spellEnd"/>
      <w:r w:rsidRPr="00E26C63">
        <w:rPr>
          <w:i/>
        </w:rPr>
        <w:t xml:space="preserve"> learning environment</w:t>
      </w:r>
      <w:r w:rsidRPr="00387AC4">
        <w:t xml:space="preserve">. </w:t>
      </w:r>
      <w:r w:rsidR="005A2E75">
        <w:t xml:space="preserve">Wakefield, </w:t>
      </w:r>
      <w:r w:rsidRPr="00387AC4">
        <w:t>MA: CAST.</w:t>
      </w:r>
    </w:p>
    <w:p w14:paraId="054575EA" w14:textId="0C3B2D04" w:rsidR="005A2E75" w:rsidRPr="00387AC4" w:rsidRDefault="003D79E9" w:rsidP="005A2E75">
      <w:pPr>
        <w:pStyle w:val="References"/>
      </w:pPr>
      <w:r w:rsidRPr="00387AC4">
        <w:t xml:space="preserve">Dolan, </w:t>
      </w:r>
      <w:r>
        <w:t>R.</w:t>
      </w:r>
      <w:r w:rsidR="005A2E75">
        <w:t xml:space="preserve"> </w:t>
      </w:r>
      <w:r>
        <w:t>P.</w:t>
      </w:r>
      <w:r w:rsidR="00E536CD">
        <w:t>,</w:t>
      </w:r>
      <w:r>
        <w:t xml:space="preserve"> </w:t>
      </w:r>
      <w:r w:rsidRPr="00387AC4">
        <w:t xml:space="preserve">&amp; Hall, </w:t>
      </w:r>
      <w:r>
        <w:t>T</w:t>
      </w:r>
      <w:r w:rsidRPr="00387AC4">
        <w:t>.</w:t>
      </w:r>
      <w:r w:rsidR="005A2E75">
        <w:t xml:space="preserve"> </w:t>
      </w:r>
      <w:r>
        <w:t xml:space="preserve">E. (2003). </w:t>
      </w:r>
      <w:r w:rsidRPr="00541400">
        <w:rPr>
          <w:i/>
        </w:rPr>
        <w:t xml:space="preserve">Providing a </w:t>
      </w:r>
      <w:r w:rsidR="00E536CD">
        <w:rPr>
          <w:i/>
        </w:rPr>
        <w:t>r</w:t>
      </w:r>
      <w:r w:rsidRPr="00541400">
        <w:rPr>
          <w:i/>
        </w:rPr>
        <w:t>ead-</w:t>
      </w:r>
      <w:r w:rsidR="00E536CD">
        <w:rPr>
          <w:i/>
        </w:rPr>
        <w:t>a</w:t>
      </w:r>
      <w:r w:rsidRPr="00541400">
        <w:rPr>
          <w:i/>
        </w:rPr>
        <w:t xml:space="preserve">loud </w:t>
      </w:r>
      <w:r w:rsidR="00E536CD">
        <w:rPr>
          <w:i/>
        </w:rPr>
        <w:t>a</w:t>
      </w:r>
      <w:r w:rsidRPr="00541400">
        <w:rPr>
          <w:i/>
        </w:rPr>
        <w:t xml:space="preserve">ccommodation </w:t>
      </w:r>
      <w:r w:rsidR="00E536CD">
        <w:rPr>
          <w:i/>
        </w:rPr>
        <w:t>w</w:t>
      </w:r>
      <w:r w:rsidRPr="00541400">
        <w:rPr>
          <w:i/>
        </w:rPr>
        <w:t xml:space="preserve">ithout </w:t>
      </w:r>
      <w:r w:rsidR="00E536CD">
        <w:rPr>
          <w:i/>
        </w:rPr>
        <w:t>c</w:t>
      </w:r>
      <w:r w:rsidRPr="00541400">
        <w:rPr>
          <w:i/>
        </w:rPr>
        <w:t xml:space="preserve">ompromising </w:t>
      </w:r>
      <w:r w:rsidR="00E536CD">
        <w:rPr>
          <w:i/>
        </w:rPr>
        <w:t>s</w:t>
      </w:r>
      <w:r w:rsidRPr="00541400">
        <w:rPr>
          <w:i/>
        </w:rPr>
        <w:t xml:space="preserve">tudent </w:t>
      </w:r>
      <w:r w:rsidR="00E536CD">
        <w:rPr>
          <w:i/>
        </w:rPr>
        <w:t>i</w:t>
      </w:r>
      <w:r w:rsidRPr="00541400">
        <w:rPr>
          <w:i/>
        </w:rPr>
        <w:t xml:space="preserve">ndependence: Preliminary </w:t>
      </w:r>
      <w:r w:rsidR="00E536CD">
        <w:rPr>
          <w:i/>
        </w:rPr>
        <w:t>r</w:t>
      </w:r>
      <w:r w:rsidRPr="00541400">
        <w:rPr>
          <w:i/>
        </w:rPr>
        <w:t xml:space="preserve">esults </w:t>
      </w:r>
      <w:r w:rsidR="00E536CD">
        <w:rPr>
          <w:i/>
        </w:rPr>
        <w:t>f</w:t>
      </w:r>
      <w:r w:rsidRPr="00541400">
        <w:rPr>
          <w:i/>
        </w:rPr>
        <w:t xml:space="preserve">rom a </w:t>
      </w:r>
      <w:r w:rsidR="00E536CD">
        <w:rPr>
          <w:i/>
        </w:rPr>
        <w:t>p</w:t>
      </w:r>
      <w:r w:rsidRPr="00541400">
        <w:rPr>
          <w:i/>
        </w:rPr>
        <w:t xml:space="preserve">ilot </w:t>
      </w:r>
      <w:r w:rsidR="00E536CD">
        <w:rPr>
          <w:i/>
        </w:rPr>
        <w:t>s</w:t>
      </w:r>
      <w:r w:rsidRPr="00541400">
        <w:rPr>
          <w:i/>
        </w:rPr>
        <w:t xml:space="preserve">tudy to </w:t>
      </w:r>
      <w:r w:rsidR="00E536CD">
        <w:rPr>
          <w:i/>
        </w:rPr>
        <w:t>e</w:t>
      </w:r>
      <w:r w:rsidRPr="00541400">
        <w:rPr>
          <w:i/>
        </w:rPr>
        <w:t xml:space="preserve">valuate the </w:t>
      </w:r>
      <w:r w:rsidR="00E536CD">
        <w:rPr>
          <w:i/>
        </w:rPr>
        <w:t>r</w:t>
      </w:r>
      <w:r w:rsidRPr="00541400">
        <w:rPr>
          <w:i/>
        </w:rPr>
        <w:t xml:space="preserve">ole of </w:t>
      </w:r>
      <w:r w:rsidR="00E536CD">
        <w:rPr>
          <w:i/>
        </w:rPr>
        <w:t>d</w:t>
      </w:r>
      <w:r w:rsidRPr="00541400">
        <w:rPr>
          <w:i/>
        </w:rPr>
        <w:t xml:space="preserve">igital </w:t>
      </w:r>
      <w:r w:rsidR="00E536CD">
        <w:rPr>
          <w:i/>
        </w:rPr>
        <w:t>t</w:t>
      </w:r>
      <w:r w:rsidRPr="00541400">
        <w:rPr>
          <w:i/>
        </w:rPr>
        <w:t xml:space="preserve">echnologies in </w:t>
      </w:r>
      <w:r w:rsidR="00E536CD">
        <w:rPr>
          <w:i/>
        </w:rPr>
        <w:t>s</w:t>
      </w:r>
      <w:r w:rsidRPr="00541400">
        <w:rPr>
          <w:i/>
        </w:rPr>
        <w:t xml:space="preserve">upporting </w:t>
      </w:r>
      <w:r w:rsidR="00E536CD">
        <w:rPr>
          <w:i/>
        </w:rPr>
        <w:t>u</w:t>
      </w:r>
      <w:r w:rsidRPr="00541400">
        <w:rPr>
          <w:i/>
        </w:rPr>
        <w:t xml:space="preserve">niversally </w:t>
      </w:r>
      <w:r w:rsidR="00E536CD">
        <w:rPr>
          <w:i/>
        </w:rPr>
        <w:t>d</w:t>
      </w:r>
      <w:r w:rsidRPr="00541400">
        <w:rPr>
          <w:i/>
        </w:rPr>
        <w:t xml:space="preserve">esigned </w:t>
      </w:r>
      <w:r w:rsidR="00E536CD">
        <w:rPr>
          <w:i/>
        </w:rPr>
        <w:t>l</w:t>
      </w:r>
      <w:r w:rsidRPr="00541400">
        <w:rPr>
          <w:i/>
        </w:rPr>
        <w:t>arge-</w:t>
      </w:r>
      <w:r w:rsidR="00E536CD">
        <w:rPr>
          <w:i/>
        </w:rPr>
        <w:t>s</w:t>
      </w:r>
      <w:r w:rsidRPr="00541400">
        <w:rPr>
          <w:i/>
        </w:rPr>
        <w:t xml:space="preserve">cale </w:t>
      </w:r>
      <w:r w:rsidR="00E536CD">
        <w:rPr>
          <w:i/>
        </w:rPr>
        <w:t>a</w:t>
      </w:r>
      <w:r w:rsidRPr="00541400">
        <w:rPr>
          <w:i/>
        </w:rPr>
        <w:t>ssessments</w:t>
      </w:r>
      <w:r>
        <w:t xml:space="preserve">. </w:t>
      </w:r>
      <w:r w:rsidR="005A2E75">
        <w:t xml:space="preserve">Wakefield, </w:t>
      </w:r>
      <w:r w:rsidR="005A2E75" w:rsidRPr="00387AC4">
        <w:t xml:space="preserve">MA: </w:t>
      </w:r>
      <w:r w:rsidR="00E536CD">
        <w:t>National Center on Accessing the General Curriculum</w:t>
      </w:r>
      <w:r w:rsidR="005A2E75" w:rsidRPr="00387AC4">
        <w:t>.</w:t>
      </w:r>
    </w:p>
    <w:p w14:paraId="734A75E9" w14:textId="553A9E49" w:rsidR="003D79E9" w:rsidRPr="00387AC4" w:rsidRDefault="003D79E9" w:rsidP="0023604C">
      <w:pPr>
        <w:pStyle w:val="References"/>
      </w:pPr>
    </w:p>
    <w:p w14:paraId="0A9A5380" w14:textId="77C2EC9A" w:rsidR="003D79E9" w:rsidRPr="00387AC4" w:rsidRDefault="003D79E9" w:rsidP="0023604C">
      <w:pPr>
        <w:pStyle w:val="References"/>
      </w:pPr>
      <w:r w:rsidRPr="00387AC4">
        <w:lastRenderedPageBreak/>
        <w:t>Dolan, R.</w:t>
      </w:r>
      <w:r w:rsidR="005A2E75">
        <w:t xml:space="preserve"> </w:t>
      </w:r>
      <w:r w:rsidRPr="00387AC4">
        <w:t>P.</w:t>
      </w:r>
      <w:r w:rsidR="00E536CD">
        <w:t>,</w:t>
      </w:r>
      <w:r w:rsidRPr="00387AC4">
        <w:t xml:space="preserve"> </w:t>
      </w:r>
      <w:r>
        <w:t>&amp;</w:t>
      </w:r>
      <w:r w:rsidRPr="00387AC4">
        <w:t xml:space="preserve"> Hall, T.</w:t>
      </w:r>
      <w:r w:rsidR="005A2E75">
        <w:t xml:space="preserve"> </w:t>
      </w:r>
      <w:r w:rsidRPr="00387AC4">
        <w:t>E. (2001). Universal Design for Learning:</w:t>
      </w:r>
      <w:r>
        <w:t xml:space="preserve"> </w:t>
      </w:r>
      <w:r w:rsidRPr="00387AC4">
        <w:t xml:space="preserve"> Implications for </w:t>
      </w:r>
      <w:r w:rsidR="00E536CD">
        <w:t>l</w:t>
      </w:r>
      <w:r w:rsidRPr="00387AC4">
        <w:t>arge-</w:t>
      </w:r>
      <w:r w:rsidR="00E536CD">
        <w:t>s</w:t>
      </w:r>
      <w:r w:rsidRPr="00387AC4">
        <w:t xml:space="preserve">cale </w:t>
      </w:r>
      <w:r w:rsidR="00E536CD">
        <w:t>a</w:t>
      </w:r>
      <w:r w:rsidRPr="00387AC4">
        <w:t xml:space="preserve">ssessment. </w:t>
      </w:r>
      <w:r w:rsidRPr="00541400">
        <w:rPr>
          <w:i/>
        </w:rPr>
        <w:t>IDA Perspectives 27</w:t>
      </w:r>
      <w:r w:rsidRPr="00387AC4">
        <w:t>(4)</w:t>
      </w:r>
      <w:r>
        <w:t>,</w:t>
      </w:r>
      <w:r w:rsidRPr="00387AC4">
        <w:t xml:space="preserve"> 22</w:t>
      </w:r>
      <w:r w:rsidR="00E536CD">
        <w:t>–</w:t>
      </w:r>
      <w:r w:rsidRPr="00387AC4">
        <w:t>25.</w:t>
      </w:r>
    </w:p>
    <w:p w14:paraId="5D81FFAF" w14:textId="5FA3604D" w:rsidR="003D79E9" w:rsidRDefault="003D79E9" w:rsidP="0023604C">
      <w:pPr>
        <w:pStyle w:val="References"/>
      </w:pPr>
      <w:proofErr w:type="spellStart"/>
      <w:proofErr w:type="gramStart"/>
      <w:r>
        <w:t>Edyburn</w:t>
      </w:r>
      <w:proofErr w:type="spellEnd"/>
      <w:r>
        <w:t>, D.</w:t>
      </w:r>
      <w:r w:rsidR="005A2E75">
        <w:t xml:space="preserve"> </w:t>
      </w:r>
      <w:r>
        <w:t>L. (2004).</w:t>
      </w:r>
      <w:proofErr w:type="gramEnd"/>
      <w:r>
        <w:t xml:space="preserve"> Measuring assistive technology outcomes in reading. </w:t>
      </w:r>
      <w:proofErr w:type="gramStart"/>
      <w:r w:rsidRPr="004D0029">
        <w:rPr>
          <w:i/>
        </w:rPr>
        <w:t>Journal of Special Education Technology, 19</w:t>
      </w:r>
      <w:r>
        <w:t>(1).</w:t>
      </w:r>
      <w:proofErr w:type="gramEnd"/>
    </w:p>
    <w:p w14:paraId="5F3AC087" w14:textId="0BFBBFAB" w:rsidR="003D79E9" w:rsidRPr="00387AC4" w:rsidRDefault="003D79E9" w:rsidP="0023604C">
      <w:pPr>
        <w:pStyle w:val="References"/>
      </w:pPr>
      <w:proofErr w:type="spellStart"/>
      <w:proofErr w:type="gramStart"/>
      <w:r w:rsidRPr="00387AC4">
        <w:t>Elbro</w:t>
      </w:r>
      <w:proofErr w:type="spellEnd"/>
      <w:r w:rsidRPr="00387AC4">
        <w:t>, C., Rasmussen, I. &amp; Spelling, B. (1996b).</w:t>
      </w:r>
      <w:proofErr w:type="gramEnd"/>
      <w:r w:rsidRPr="00387AC4">
        <w:t xml:space="preserve"> </w:t>
      </w:r>
      <w:r w:rsidRPr="00F64A9F">
        <w:rPr>
          <w:szCs w:val="24"/>
        </w:rPr>
        <w:t>Teaching reading to disabled readers with language disorders: A controlled evaluation of synthetic speech feedback</w:t>
      </w:r>
      <w:r w:rsidRPr="00387AC4">
        <w:t xml:space="preserve">. </w:t>
      </w:r>
      <w:proofErr w:type="gramStart"/>
      <w:r w:rsidRPr="00A32C4C">
        <w:rPr>
          <w:i/>
        </w:rPr>
        <w:t>Scandinavian Journal of Psychology, 37,</w:t>
      </w:r>
      <w:r w:rsidRPr="00387AC4">
        <w:t xml:space="preserve"> 140</w:t>
      </w:r>
      <w:r w:rsidR="00E536CD">
        <w:t>–</w:t>
      </w:r>
      <w:r w:rsidRPr="00387AC4">
        <w:t>155</w:t>
      </w:r>
      <w:r>
        <w:t>.</w:t>
      </w:r>
      <w:proofErr w:type="gramEnd"/>
    </w:p>
    <w:p w14:paraId="6BF8E0B8" w14:textId="53F4B001" w:rsidR="003D79E9" w:rsidRPr="00387AC4" w:rsidRDefault="003D79E9" w:rsidP="0023604C">
      <w:pPr>
        <w:pStyle w:val="References"/>
      </w:pPr>
      <w:proofErr w:type="gramStart"/>
      <w:r w:rsidRPr="00387AC4">
        <w:t>Ellis, E.</w:t>
      </w:r>
      <w:r w:rsidR="005A2E75">
        <w:t xml:space="preserve"> </w:t>
      </w:r>
      <w:r w:rsidRPr="00387AC4">
        <w:t xml:space="preserve">S. &amp; </w:t>
      </w:r>
      <w:proofErr w:type="spellStart"/>
      <w:r w:rsidRPr="00387AC4">
        <w:t>Sabornie</w:t>
      </w:r>
      <w:proofErr w:type="spellEnd"/>
      <w:r w:rsidRPr="00387AC4">
        <w:t>, E.</w:t>
      </w:r>
      <w:r w:rsidR="005A2E75">
        <w:t xml:space="preserve"> </w:t>
      </w:r>
      <w:r w:rsidRPr="00387AC4">
        <w:t>J. (1990).</w:t>
      </w:r>
      <w:proofErr w:type="gramEnd"/>
      <w:r w:rsidRPr="00387AC4">
        <w:t xml:space="preserve"> Strategy-based adaptive instruction in content-area classes: </w:t>
      </w:r>
      <w:r>
        <w:t xml:space="preserve"> </w:t>
      </w:r>
      <w:r w:rsidRPr="00387AC4">
        <w:t xml:space="preserve">Social validity of six options. </w:t>
      </w:r>
      <w:r w:rsidRPr="00A12590">
        <w:rPr>
          <w:i/>
        </w:rPr>
        <w:t>Teacher Education and Special Education, 13</w:t>
      </w:r>
      <w:r w:rsidRPr="00387AC4">
        <w:t>(2), 133</w:t>
      </w:r>
      <w:r w:rsidR="00E536CD">
        <w:t>–</w:t>
      </w:r>
      <w:r w:rsidRPr="00387AC4">
        <w:t>144.</w:t>
      </w:r>
    </w:p>
    <w:p w14:paraId="45D1DF57" w14:textId="3CB979A0" w:rsidR="003D79E9" w:rsidRPr="00387AC4" w:rsidRDefault="003D79E9" w:rsidP="0023604C">
      <w:pPr>
        <w:pStyle w:val="References"/>
      </w:pPr>
      <w:proofErr w:type="gramStart"/>
      <w:r w:rsidRPr="00387AC4">
        <w:t>Ellis, E. (1997).</w:t>
      </w:r>
      <w:proofErr w:type="gramEnd"/>
      <w:r w:rsidRPr="00387AC4">
        <w:t xml:space="preserve"> Watering up the curriculum for adolescents with learning</w:t>
      </w:r>
      <w:r>
        <w:t xml:space="preserve"> </w:t>
      </w:r>
      <w:r w:rsidRPr="00387AC4">
        <w:t xml:space="preserve">disabilities: </w:t>
      </w:r>
      <w:r>
        <w:t xml:space="preserve"> </w:t>
      </w:r>
      <w:r w:rsidRPr="00387AC4">
        <w:t xml:space="preserve">Goals of the knowledge dimension. </w:t>
      </w:r>
      <w:proofErr w:type="gramStart"/>
      <w:r w:rsidRPr="00043AB2">
        <w:rPr>
          <w:i/>
        </w:rPr>
        <w:t xml:space="preserve">Remedial and special education, </w:t>
      </w:r>
      <w:r w:rsidR="00E536CD" w:rsidRPr="0070324A">
        <w:rPr>
          <w:rStyle w:val="st"/>
          <w:rFonts w:eastAsia="Times New Roman" w:cs="Times New Roman"/>
          <w:i/>
        </w:rPr>
        <w:t>18</w:t>
      </w:r>
      <w:r w:rsidR="00E536CD">
        <w:rPr>
          <w:rStyle w:val="st"/>
          <w:rFonts w:eastAsia="Times New Roman" w:cs="Times New Roman"/>
        </w:rPr>
        <w:t>(6), 326–346.</w:t>
      </w:r>
      <w:proofErr w:type="gramEnd"/>
      <w:r w:rsidR="00E536CD">
        <w:rPr>
          <w:rStyle w:val="st"/>
          <w:rFonts w:eastAsia="Times New Roman" w:cs="Times New Roman"/>
        </w:rPr>
        <w:t xml:space="preserve"> </w:t>
      </w:r>
    </w:p>
    <w:p w14:paraId="1F71E70C" w14:textId="4D1EC6C6" w:rsidR="003D79E9" w:rsidRPr="00387AC4" w:rsidRDefault="003D79E9" w:rsidP="0023604C">
      <w:pPr>
        <w:pStyle w:val="References"/>
      </w:pPr>
      <w:r w:rsidRPr="00387AC4">
        <w:t>Elmore, R.</w:t>
      </w:r>
      <w:r w:rsidR="005A2E75">
        <w:t xml:space="preserve"> </w:t>
      </w:r>
      <w:r w:rsidRPr="00387AC4">
        <w:t>F.</w:t>
      </w:r>
      <w:r w:rsidR="00E536CD">
        <w:t>,</w:t>
      </w:r>
      <w:r w:rsidRPr="00387AC4">
        <w:t xml:space="preserve"> &amp; Fuhrman, S.</w:t>
      </w:r>
      <w:r w:rsidR="005A2E75">
        <w:t xml:space="preserve"> </w:t>
      </w:r>
      <w:r w:rsidRPr="00387AC4">
        <w:t xml:space="preserve">H. (1995). </w:t>
      </w:r>
      <w:proofErr w:type="gramStart"/>
      <w:r w:rsidRPr="00387AC4">
        <w:t>Opportunity-to-learn standards and the state role in education.</w:t>
      </w:r>
      <w:proofErr w:type="gramEnd"/>
      <w:r w:rsidRPr="00387AC4">
        <w:t xml:space="preserve"> </w:t>
      </w:r>
      <w:r w:rsidRPr="00C51CDE">
        <w:rPr>
          <w:i/>
        </w:rPr>
        <w:t>Teachers College Record, 96</w:t>
      </w:r>
      <w:r w:rsidRPr="00387AC4">
        <w:t>(3), 433</w:t>
      </w:r>
      <w:r w:rsidR="00E536CD">
        <w:t>–</w:t>
      </w:r>
      <w:r w:rsidRPr="00387AC4">
        <w:t>458.</w:t>
      </w:r>
    </w:p>
    <w:p w14:paraId="6FB9740C" w14:textId="30BC6FCC" w:rsidR="003D79E9" w:rsidRPr="00387AC4" w:rsidRDefault="003D79E9" w:rsidP="0023604C">
      <w:pPr>
        <w:pStyle w:val="References"/>
      </w:pPr>
      <w:proofErr w:type="spellStart"/>
      <w:r>
        <w:t>Erdner</w:t>
      </w:r>
      <w:proofErr w:type="spellEnd"/>
      <w:r>
        <w:t>, R.</w:t>
      </w:r>
      <w:r w:rsidR="005A2E75">
        <w:t xml:space="preserve"> </w:t>
      </w:r>
      <w:r>
        <w:t>A., Guy, R.</w:t>
      </w:r>
      <w:r w:rsidR="005A2E75">
        <w:t xml:space="preserve"> </w:t>
      </w:r>
      <w:r w:rsidRPr="00387AC4">
        <w:t>F.</w:t>
      </w:r>
      <w:r w:rsidR="005A2E75">
        <w:t>,</w:t>
      </w:r>
      <w:r w:rsidRPr="00387AC4">
        <w:t xml:space="preserve"> &amp; Bush, A. (1998). The impact of a year of computer assisted instruction on the development of first grade learning skills. </w:t>
      </w:r>
      <w:r w:rsidRPr="00A12590">
        <w:rPr>
          <w:i/>
        </w:rPr>
        <w:t>Journal of Educational Computing Research, 18</w:t>
      </w:r>
      <w:r w:rsidRPr="00387AC4">
        <w:t>(4), 369</w:t>
      </w:r>
      <w:r w:rsidR="00E536CD">
        <w:t>–</w:t>
      </w:r>
      <w:r w:rsidRPr="00387AC4">
        <w:t>386.</w:t>
      </w:r>
    </w:p>
    <w:p w14:paraId="38A5F582" w14:textId="4819C518" w:rsidR="003D79E9" w:rsidRPr="00387AC4" w:rsidRDefault="003D79E9" w:rsidP="0023604C">
      <w:pPr>
        <w:pStyle w:val="References"/>
      </w:pPr>
      <w:proofErr w:type="spellStart"/>
      <w:r w:rsidRPr="00387AC4">
        <w:t>Gloeckler</w:t>
      </w:r>
      <w:proofErr w:type="spellEnd"/>
      <w:r w:rsidRPr="00387AC4">
        <w:t>, L. (2001). The door to opportunity:</w:t>
      </w:r>
      <w:r>
        <w:t xml:space="preserve"> </w:t>
      </w:r>
      <w:r w:rsidRPr="00387AC4">
        <w:t xml:space="preserve"> Let’s open it for everyone. </w:t>
      </w:r>
      <w:r w:rsidRPr="00541400">
        <w:rPr>
          <w:i/>
        </w:rPr>
        <w:t>The State Education Standard, 2</w:t>
      </w:r>
      <w:r w:rsidRPr="00387AC4">
        <w:t>(3), 20</w:t>
      </w:r>
      <w:r w:rsidR="00E536CD">
        <w:t>–</w:t>
      </w:r>
      <w:r w:rsidRPr="00387AC4">
        <w:t>25.</w:t>
      </w:r>
    </w:p>
    <w:p w14:paraId="748CBBC7" w14:textId="1891F47F" w:rsidR="005A2E75" w:rsidRPr="000C4008" w:rsidRDefault="003D79E9" w:rsidP="005A2E75">
      <w:pPr>
        <w:rPr>
          <w:rFonts w:ascii="Times" w:eastAsia="Times New Roman" w:hAnsi="Times" w:cs="Times New Roman"/>
          <w:sz w:val="20"/>
          <w:szCs w:val="20"/>
        </w:rPr>
      </w:pPr>
      <w:proofErr w:type="gramStart"/>
      <w:r w:rsidRPr="0070324A">
        <w:rPr>
          <w:sz w:val="20"/>
          <w:szCs w:val="20"/>
        </w:rPr>
        <w:t>Gordon, D.</w:t>
      </w:r>
      <w:r w:rsidR="005A2E75" w:rsidRPr="0070324A">
        <w:rPr>
          <w:sz w:val="20"/>
          <w:szCs w:val="20"/>
        </w:rPr>
        <w:t xml:space="preserve"> </w:t>
      </w:r>
      <w:r w:rsidRPr="0070324A">
        <w:rPr>
          <w:sz w:val="20"/>
          <w:szCs w:val="20"/>
        </w:rPr>
        <w:t>T. (2002).</w:t>
      </w:r>
      <w:proofErr w:type="gramEnd"/>
      <w:r w:rsidRPr="0070324A">
        <w:rPr>
          <w:sz w:val="20"/>
          <w:szCs w:val="20"/>
        </w:rPr>
        <w:t xml:space="preserve"> </w:t>
      </w:r>
      <w:proofErr w:type="gramStart"/>
      <w:r w:rsidRPr="0070324A">
        <w:rPr>
          <w:sz w:val="20"/>
          <w:szCs w:val="20"/>
        </w:rPr>
        <w:t xml:space="preserve">Curriculum </w:t>
      </w:r>
      <w:r w:rsidR="005A2E75" w:rsidRPr="0070324A">
        <w:rPr>
          <w:sz w:val="20"/>
          <w:szCs w:val="20"/>
        </w:rPr>
        <w:t>a</w:t>
      </w:r>
      <w:r w:rsidRPr="0070324A">
        <w:rPr>
          <w:sz w:val="20"/>
          <w:szCs w:val="20"/>
        </w:rPr>
        <w:t xml:space="preserve">ccess in the </w:t>
      </w:r>
      <w:r w:rsidR="005A2E75" w:rsidRPr="0070324A">
        <w:rPr>
          <w:sz w:val="20"/>
          <w:szCs w:val="20"/>
        </w:rPr>
        <w:t>d</w:t>
      </w:r>
      <w:r w:rsidRPr="0070324A">
        <w:rPr>
          <w:sz w:val="20"/>
          <w:szCs w:val="20"/>
        </w:rPr>
        <w:t xml:space="preserve">igital </w:t>
      </w:r>
      <w:r w:rsidR="005A2E75" w:rsidRPr="0070324A">
        <w:rPr>
          <w:sz w:val="20"/>
          <w:szCs w:val="20"/>
        </w:rPr>
        <w:t>a</w:t>
      </w:r>
      <w:r w:rsidRPr="0070324A">
        <w:rPr>
          <w:sz w:val="20"/>
          <w:szCs w:val="20"/>
        </w:rPr>
        <w:t>ge.</w:t>
      </w:r>
      <w:proofErr w:type="gramEnd"/>
      <w:r w:rsidRPr="0070324A">
        <w:rPr>
          <w:sz w:val="20"/>
          <w:szCs w:val="20"/>
        </w:rPr>
        <w:t xml:space="preserve"> </w:t>
      </w:r>
      <w:r w:rsidR="005A2E75" w:rsidRPr="0070324A">
        <w:rPr>
          <w:rFonts w:eastAsia="Times New Roman" w:cs="Times New Roman"/>
          <w:bCs/>
          <w:i/>
          <w:color w:val="545454"/>
          <w:sz w:val="20"/>
          <w:szCs w:val="20"/>
          <w:shd w:val="clear" w:color="auto" w:fill="FFFFFF"/>
        </w:rPr>
        <w:t>Harvard Education Letter</w:t>
      </w:r>
      <w:r w:rsidR="005A2E75" w:rsidRPr="0070324A">
        <w:rPr>
          <w:rFonts w:eastAsia="Times New Roman" w:cs="Times New Roman"/>
          <w:i/>
          <w:color w:val="545454"/>
          <w:sz w:val="20"/>
          <w:szCs w:val="20"/>
          <w:shd w:val="clear" w:color="auto" w:fill="FFFFFF"/>
        </w:rPr>
        <w:t>, 18</w:t>
      </w:r>
      <w:r w:rsidR="00E536CD" w:rsidRPr="00E536CD">
        <w:rPr>
          <w:rFonts w:eastAsia="Times New Roman" w:cs="Times New Roman"/>
          <w:color w:val="545454"/>
          <w:sz w:val="20"/>
          <w:szCs w:val="20"/>
          <w:shd w:val="clear" w:color="auto" w:fill="FFFFFF"/>
        </w:rPr>
        <w:t>(1), 1–</w:t>
      </w:r>
      <w:r w:rsidR="005A2E75" w:rsidRPr="0070324A">
        <w:rPr>
          <w:rFonts w:eastAsia="Times New Roman" w:cs="Times New Roman"/>
          <w:color w:val="545454"/>
          <w:sz w:val="20"/>
          <w:szCs w:val="20"/>
          <w:shd w:val="clear" w:color="auto" w:fill="FFFFFF"/>
        </w:rPr>
        <w:t>5.</w:t>
      </w:r>
    </w:p>
    <w:p w14:paraId="0C52EA98" w14:textId="247E2B56" w:rsidR="003D79E9" w:rsidRPr="00387AC4" w:rsidRDefault="003D79E9" w:rsidP="0023604C">
      <w:pPr>
        <w:pStyle w:val="References"/>
      </w:pPr>
      <w:proofErr w:type="spellStart"/>
      <w:r w:rsidRPr="00387AC4">
        <w:t>Guiton</w:t>
      </w:r>
      <w:proofErr w:type="spellEnd"/>
      <w:r w:rsidRPr="00387AC4">
        <w:t>, G.</w:t>
      </w:r>
      <w:r w:rsidR="00E536CD">
        <w:t>,</w:t>
      </w:r>
      <w:r w:rsidRPr="00387AC4">
        <w:t xml:space="preserve"> &amp; Oakes, J. (1995). </w:t>
      </w:r>
      <w:proofErr w:type="gramStart"/>
      <w:r w:rsidRPr="00387AC4">
        <w:t>Opportunity to learn and conceptions of educational equality.</w:t>
      </w:r>
      <w:proofErr w:type="gramEnd"/>
      <w:r w:rsidRPr="00387AC4">
        <w:t xml:space="preserve"> </w:t>
      </w:r>
      <w:r w:rsidRPr="005623B9">
        <w:rPr>
          <w:i/>
        </w:rPr>
        <w:t>Educational Evaluation and Policy Analysis, 17</w:t>
      </w:r>
      <w:r w:rsidRPr="00387AC4">
        <w:t>(3), 323</w:t>
      </w:r>
      <w:r w:rsidR="00E536CD">
        <w:t>–</w:t>
      </w:r>
      <w:r w:rsidRPr="00387AC4">
        <w:t>336.</w:t>
      </w:r>
    </w:p>
    <w:p w14:paraId="63FE85AF" w14:textId="175148E7" w:rsidR="003D79E9" w:rsidRPr="00387AC4" w:rsidRDefault="003D79E9" w:rsidP="0023604C">
      <w:pPr>
        <w:pStyle w:val="References"/>
      </w:pPr>
      <w:proofErr w:type="spellStart"/>
      <w:proofErr w:type="gramStart"/>
      <w:r w:rsidRPr="00387AC4">
        <w:t>Gurry</w:t>
      </w:r>
      <w:proofErr w:type="spellEnd"/>
      <w:r w:rsidRPr="00387AC4">
        <w:t>, S.</w:t>
      </w:r>
      <w:r w:rsidR="00E536CD">
        <w:t>,</w:t>
      </w:r>
      <w:r w:rsidRPr="00387AC4">
        <w:t xml:space="preserve"> &amp; Larkin, A. (1999).</w:t>
      </w:r>
      <w:proofErr w:type="gramEnd"/>
      <w:r w:rsidRPr="00387AC4">
        <w:t xml:space="preserve"> Literacy learning abilities of children with developmental disabilities: </w:t>
      </w:r>
      <w:r>
        <w:t xml:space="preserve"> </w:t>
      </w:r>
      <w:r w:rsidRPr="00387AC4">
        <w:t xml:space="preserve">What do we know? </w:t>
      </w:r>
      <w:proofErr w:type="gramStart"/>
      <w:r w:rsidRPr="005623B9">
        <w:rPr>
          <w:i/>
        </w:rPr>
        <w:t>Currents in Literacy</w:t>
      </w:r>
      <w:r w:rsidRPr="00387AC4">
        <w:t>.</w:t>
      </w:r>
      <w:proofErr w:type="gramEnd"/>
      <w:r w:rsidRPr="00387AC4">
        <w:t xml:space="preserve"> Cambridge, MA:</w:t>
      </w:r>
      <w:r>
        <w:t xml:space="preserve"> </w:t>
      </w:r>
      <w:r w:rsidRPr="00387AC4">
        <w:t>Hood Children</w:t>
      </w:r>
      <w:r>
        <w:t>’</w:t>
      </w:r>
      <w:r w:rsidRPr="00387AC4">
        <w:t xml:space="preserve">s Literacy Project. </w:t>
      </w:r>
    </w:p>
    <w:p w14:paraId="365B7AD1" w14:textId="0BF2765B" w:rsidR="003D79E9" w:rsidRPr="00387AC4" w:rsidRDefault="003D79E9" w:rsidP="0023604C">
      <w:pPr>
        <w:pStyle w:val="References"/>
      </w:pPr>
      <w:r w:rsidRPr="00387AC4">
        <w:t xml:space="preserve">Hay, L. (1997). </w:t>
      </w:r>
      <w:proofErr w:type="gramStart"/>
      <w:r w:rsidRPr="00387AC4">
        <w:t>Tailor-made Instructional Materials Using Computer Multimedia Technology.</w:t>
      </w:r>
      <w:proofErr w:type="gramEnd"/>
      <w:r w:rsidRPr="00387AC4">
        <w:t xml:space="preserve"> </w:t>
      </w:r>
      <w:r w:rsidRPr="000A0047">
        <w:rPr>
          <w:i/>
        </w:rPr>
        <w:t>Computers in the Schools, 13</w:t>
      </w:r>
      <w:r w:rsidRPr="00387AC4">
        <w:t>(1</w:t>
      </w:r>
      <w:r w:rsidR="00E536CD">
        <w:t>–</w:t>
      </w:r>
      <w:r w:rsidRPr="00387AC4">
        <w:t>2), 61</w:t>
      </w:r>
      <w:r w:rsidR="00E536CD">
        <w:t>–</w:t>
      </w:r>
      <w:r w:rsidRPr="00387AC4">
        <w:t>68</w:t>
      </w:r>
      <w:r w:rsidR="00E536CD">
        <w:t>.</w:t>
      </w:r>
    </w:p>
    <w:p w14:paraId="6E838182" w14:textId="3CC1EA5F" w:rsidR="003D79E9" w:rsidRPr="00387AC4" w:rsidRDefault="003D79E9" w:rsidP="0023604C">
      <w:pPr>
        <w:pStyle w:val="References"/>
      </w:pPr>
      <w:proofErr w:type="spellStart"/>
      <w:r>
        <w:t>Herl</w:t>
      </w:r>
      <w:proofErr w:type="spellEnd"/>
      <w:r>
        <w:t>, H.</w:t>
      </w:r>
      <w:r w:rsidR="000C4008">
        <w:t xml:space="preserve"> </w:t>
      </w:r>
      <w:r>
        <w:t>E., O’Neil, H.</w:t>
      </w:r>
      <w:r w:rsidR="000C4008">
        <w:t xml:space="preserve"> </w:t>
      </w:r>
      <w:r>
        <w:t>F., Jr., Chung, G.</w:t>
      </w:r>
      <w:r w:rsidR="000C4008">
        <w:t xml:space="preserve"> </w:t>
      </w:r>
      <w:r>
        <w:t>K. W.</w:t>
      </w:r>
      <w:r w:rsidR="000C4008">
        <w:t xml:space="preserve"> </w:t>
      </w:r>
      <w:r w:rsidRPr="00387AC4">
        <w:t>K.</w:t>
      </w:r>
      <w:r w:rsidR="000C4008">
        <w:t>,</w:t>
      </w:r>
      <w:r w:rsidRPr="00387AC4">
        <w:t xml:space="preserve"> &amp; </w:t>
      </w:r>
      <w:proofErr w:type="spellStart"/>
      <w:r w:rsidRPr="00387AC4">
        <w:t>Schacter</w:t>
      </w:r>
      <w:proofErr w:type="spellEnd"/>
      <w:r w:rsidRPr="00387AC4">
        <w:t xml:space="preserve">, J. (1999). </w:t>
      </w:r>
      <w:proofErr w:type="gramStart"/>
      <w:r w:rsidRPr="00387AC4">
        <w:t>Reliability and</w:t>
      </w:r>
      <w:r>
        <w:t xml:space="preserve"> </w:t>
      </w:r>
      <w:r w:rsidRPr="00387AC4">
        <w:t>validity of a computer-based knowledge mapping system to measure content</w:t>
      </w:r>
      <w:r>
        <w:t xml:space="preserve"> </w:t>
      </w:r>
      <w:r w:rsidRPr="00387AC4">
        <w:t>understanding.</w:t>
      </w:r>
      <w:proofErr w:type="gramEnd"/>
      <w:r w:rsidRPr="00387AC4">
        <w:t xml:space="preserve"> </w:t>
      </w:r>
      <w:proofErr w:type="gramStart"/>
      <w:r w:rsidRPr="00A32C4C">
        <w:rPr>
          <w:i/>
        </w:rPr>
        <w:t>Computer in Human Behavior, 15</w:t>
      </w:r>
      <w:r w:rsidR="00E536CD">
        <w:t>(3–4)</w:t>
      </w:r>
      <w:r w:rsidRPr="00387AC4">
        <w:t>, 315-333.</w:t>
      </w:r>
      <w:proofErr w:type="gramEnd"/>
    </w:p>
    <w:p w14:paraId="460C5369" w14:textId="1F1742BC" w:rsidR="003D79E9" w:rsidRPr="00387AC4" w:rsidRDefault="003D79E9" w:rsidP="0023604C">
      <w:pPr>
        <w:pStyle w:val="References"/>
      </w:pPr>
      <w:proofErr w:type="spellStart"/>
      <w:r w:rsidRPr="00387AC4">
        <w:t>Hickson</w:t>
      </w:r>
      <w:proofErr w:type="spellEnd"/>
      <w:r w:rsidRPr="00387AC4">
        <w:t>, L., Blackman, L.</w:t>
      </w:r>
      <w:r w:rsidR="000C4008">
        <w:t xml:space="preserve"> </w:t>
      </w:r>
      <w:r w:rsidRPr="00387AC4">
        <w:t>S.</w:t>
      </w:r>
      <w:r w:rsidR="00E536CD">
        <w:t>,</w:t>
      </w:r>
      <w:r w:rsidRPr="00387AC4">
        <w:t xml:space="preserve"> &amp; Reis, E.</w:t>
      </w:r>
      <w:r w:rsidR="000C4008">
        <w:t xml:space="preserve"> </w:t>
      </w:r>
      <w:r w:rsidRPr="00387AC4">
        <w:t xml:space="preserve">M. (1995). </w:t>
      </w:r>
      <w:r w:rsidRPr="00A32C4C">
        <w:rPr>
          <w:i/>
        </w:rPr>
        <w:t>Mental retardation:  Foundations of educational programming.</w:t>
      </w:r>
      <w:r w:rsidRPr="00387AC4">
        <w:t xml:space="preserve"> Boston</w:t>
      </w:r>
      <w:r w:rsidR="000C4008">
        <w:t>, MA</w:t>
      </w:r>
      <w:r w:rsidRPr="00387AC4">
        <w:t xml:space="preserve">: </w:t>
      </w:r>
      <w:r>
        <w:t xml:space="preserve"> </w:t>
      </w:r>
      <w:proofErr w:type="spellStart"/>
      <w:r w:rsidRPr="00387AC4">
        <w:t>Allyn</w:t>
      </w:r>
      <w:proofErr w:type="spellEnd"/>
      <w:r w:rsidRPr="00387AC4">
        <w:t xml:space="preserve"> &amp; Bacon.</w:t>
      </w:r>
    </w:p>
    <w:p w14:paraId="61E8AE4C" w14:textId="2881168D" w:rsidR="003D79E9" w:rsidRPr="00387AC4" w:rsidRDefault="003D79E9" w:rsidP="0023604C">
      <w:pPr>
        <w:pStyle w:val="References"/>
      </w:pPr>
      <w:proofErr w:type="gramStart"/>
      <w:r w:rsidRPr="00387AC4">
        <w:t xml:space="preserve">Hudson, </w:t>
      </w:r>
      <w:r>
        <w:t>S.</w:t>
      </w:r>
      <w:r w:rsidR="000C4008">
        <w:t xml:space="preserve"> </w:t>
      </w:r>
      <w:r w:rsidRPr="00387AC4">
        <w:t>B.</w:t>
      </w:r>
      <w:r>
        <w:t>,</w:t>
      </w:r>
      <w:r w:rsidRPr="00387AC4">
        <w:t xml:space="preserve"> McMahon, K</w:t>
      </w:r>
      <w:r>
        <w:t>.</w:t>
      </w:r>
      <w:r w:rsidR="000C4008">
        <w:t xml:space="preserve"> </w:t>
      </w:r>
      <w:r w:rsidRPr="00387AC4">
        <w:t>C.</w:t>
      </w:r>
      <w:r w:rsidR="000C4008">
        <w:t>,</w:t>
      </w:r>
      <w:r>
        <w:t xml:space="preserve"> &amp;</w:t>
      </w:r>
      <w:r w:rsidRPr="00387AC4">
        <w:t xml:space="preserve"> Overstreet, C</w:t>
      </w:r>
      <w:r>
        <w:t>.</w:t>
      </w:r>
      <w:r w:rsidR="000C4008">
        <w:t xml:space="preserve"> </w:t>
      </w:r>
      <w:r w:rsidRPr="00387AC4">
        <w:t>M.</w:t>
      </w:r>
      <w:r>
        <w:t xml:space="preserve"> (2002).</w:t>
      </w:r>
      <w:proofErr w:type="gramEnd"/>
      <w:r>
        <w:t xml:space="preserve"> </w:t>
      </w:r>
      <w:r w:rsidRPr="0070324A">
        <w:rPr>
          <w:i/>
        </w:rPr>
        <w:t xml:space="preserve">The 2000 </w:t>
      </w:r>
      <w:r w:rsidR="000C4008" w:rsidRPr="0070324A">
        <w:rPr>
          <w:i/>
        </w:rPr>
        <w:t>n</w:t>
      </w:r>
      <w:r w:rsidRPr="0070324A">
        <w:rPr>
          <w:i/>
        </w:rPr>
        <w:t xml:space="preserve">ational </w:t>
      </w:r>
      <w:r w:rsidR="000C4008" w:rsidRPr="0070324A">
        <w:rPr>
          <w:i/>
        </w:rPr>
        <w:t>s</w:t>
      </w:r>
      <w:r w:rsidRPr="0070324A">
        <w:rPr>
          <w:i/>
        </w:rPr>
        <w:t xml:space="preserve">urvey of </w:t>
      </w:r>
      <w:r w:rsidR="000C4008" w:rsidRPr="0070324A">
        <w:rPr>
          <w:i/>
        </w:rPr>
        <w:t>s</w:t>
      </w:r>
      <w:r w:rsidRPr="0070324A">
        <w:rPr>
          <w:i/>
        </w:rPr>
        <w:t xml:space="preserve">cience and </w:t>
      </w:r>
      <w:r w:rsidR="000C4008" w:rsidRPr="0070324A">
        <w:rPr>
          <w:i/>
        </w:rPr>
        <w:t>m</w:t>
      </w:r>
      <w:r w:rsidRPr="0070324A">
        <w:rPr>
          <w:i/>
        </w:rPr>
        <w:t xml:space="preserve">athematics </w:t>
      </w:r>
      <w:r w:rsidR="000C4008" w:rsidRPr="0070324A">
        <w:rPr>
          <w:i/>
        </w:rPr>
        <w:t>e</w:t>
      </w:r>
      <w:r w:rsidRPr="0070324A">
        <w:rPr>
          <w:i/>
        </w:rPr>
        <w:t xml:space="preserve">ducation:  Compendium of </w:t>
      </w:r>
      <w:r w:rsidR="000C4008" w:rsidRPr="0070324A">
        <w:rPr>
          <w:i/>
        </w:rPr>
        <w:t>t</w:t>
      </w:r>
      <w:r w:rsidRPr="0070324A">
        <w:rPr>
          <w:i/>
        </w:rPr>
        <w:t>ables</w:t>
      </w:r>
      <w:r>
        <w:t>.</w:t>
      </w:r>
      <w:r w:rsidR="000C4008">
        <w:t xml:space="preserve"> Chapel Hill, NC: Horizon Research. </w:t>
      </w:r>
    </w:p>
    <w:p w14:paraId="36737A91" w14:textId="7B4AF563" w:rsidR="003D79E9" w:rsidRPr="00387AC4" w:rsidRDefault="003D79E9" w:rsidP="0023604C">
      <w:pPr>
        <w:pStyle w:val="References"/>
      </w:pPr>
      <w:proofErr w:type="spellStart"/>
      <w:r w:rsidRPr="00387AC4">
        <w:t>Koppenhaver</w:t>
      </w:r>
      <w:proofErr w:type="spellEnd"/>
      <w:r w:rsidRPr="00387AC4">
        <w:t>, D.</w:t>
      </w:r>
      <w:r w:rsidR="000C4008">
        <w:t xml:space="preserve"> </w:t>
      </w:r>
      <w:r w:rsidRPr="00387AC4">
        <w:t>A., Erickson, K.</w:t>
      </w:r>
      <w:r w:rsidR="000C4008">
        <w:t xml:space="preserve"> </w:t>
      </w:r>
      <w:r w:rsidRPr="00387AC4">
        <w:t>A.</w:t>
      </w:r>
      <w:r w:rsidR="000C4008">
        <w:t>,</w:t>
      </w:r>
      <w:r w:rsidRPr="00387AC4">
        <w:t xml:space="preserve"> &amp; </w:t>
      </w:r>
      <w:proofErr w:type="spellStart"/>
      <w:r w:rsidRPr="00387AC4">
        <w:t>Skotko</w:t>
      </w:r>
      <w:proofErr w:type="spellEnd"/>
      <w:r w:rsidRPr="00387AC4">
        <w:t>, B.</w:t>
      </w:r>
      <w:r w:rsidR="000C4008">
        <w:t xml:space="preserve"> </w:t>
      </w:r>
      <w:r w:rsidRPr="00387AC4">
        <w:t xml:space="preserve">G. (2001). Supporting communication of girls with </w:t>
      </w:r>
      <w:proofErr w:type="spellStart"/>
      <w:r w:rsidRPr="00387AC4">
        <w:t>Rett</w:t>
      </w:r>
      <w:proofErr w:type="spellEnd"/>
      <w:r w:rsidRPr="00387AC4">
        <w:t xml:space="preserve"> syndrome and their mothers in storybook reading. </w:t>
      </w:r>
      <w:r w:rsidRPr="00A32C4C">
        <w:rPr>
          <w:i/>
        </w:rPr>
        <w:t>International Journal of Disability, Development, and Education, 48</w:t>
      </w:r>
      <w:r w:rsidRPr="00387AC4">
        <w:t>(4), 395</w:t>
      </w:r>
      <w:r w:rsidR="00E536CD">
        <w:t>–</w:t>
      </w:r>
      <w:r w:rsidRPr="00387AC4">
        <w:t>410.</w:t>
      </w:r>
    </w:p>
    <w:p w14:paraId="0731E82B" w14:textId="01D67EE6" w:rsidR="003D79E9" w:rsidRPr="00387AC4" w:rsidRDefault="003D79E9" w:rsidP="0023604C">
      <w:pPr>
        <w:pStyle w:val="References"/>
      </w:pPr>
      <w:r>
        <w:t xml:space="preserve">Levine, P. &amp; Wagner, M. (2004). </w:t>
      </w:r>
      <w:proofErr w:type="gramStart"/>
      <w:r w:rsidRPr="0070324A">
        <w:rPr>
          <w:i/>
        </w:rPr>
        <w:t xml:space="preserve">Secondary </w:t>
      </w:r>
      <w:r w:rsidR="000C4008" w:rsidRPr="0070324A">
        <w:rPr>
          <w:i/>
        </w:rPr>
        <w:t>s</w:t>
      </w:r>
      <w:r w:rsidRPr="0070324A">
        <w:rPr>
          <w:i/>
        </w:rPr>
        <w:t xml:space="preserve">chool </w:t>
      </w:r>
      <w:r w:rsidR="000C4008" w:rsidRPr="0070324A">
        <w:rPr>
          <w:i/>
        </w:rPr>
        <w:t>e</w:t>
      </w:r>
      <w:r w:rsidRPr="0070324A">
        <w:rPr>
          <w:i/>
        </w:rPr>
        <w:t xml:space="preserve">xperiences in </w:t>
      </w:r>
      <w:r w:rsidR="000C4008" w:rsidRPr="0070324A">
        <w:rPr>
          <w:i/>
        </w:rPr>
        <w:t>s</w:t>
      </w:r>
      <w:r w:rsidRPr="0070324A">
        <w:rPr>
          <w:i/>
        </w:rPr>
        <w:t xml:space="preserve">pecial </w:t>
      </w:r>
      <w:r w:rsidR="000C4008" w:rsidRPr="0070324A">
        <w:rPr>
          <w:i/>
        </w:rPr>
        <w:t>e</w:t>
      </w:r>
      <w:r w:rsidRPr="0070324A">
        <w:rPr>
          <w:i/>
        </w:rPr>
        <w:t xml:space="preserve">ducation </w:t>
      </w:r>
      <w:r w:rsidR="000C4008" w:rsidRPr="0070324A">
        <w:rPr>
          <w:i/>
        </w:rPr>
        <w:t>c</w:t>
      </w:r>
      <w:r w:rsidRPr="0070324A">
        <w:rPr>
          <w:i/>
        </w:rPr>
        <w:t>lassrooms</w:t>
      </w:r>
      <w:r w:rsidR="000C4008">
        <w:rPr>
          <w:i/>
        </w:rPr>
        <w:t xml:space="preserve"> (</w:t>
      </w:r>
      <w:r w:rsidRPr="000C4008">
        <w:rPr>
          <w:i/>
        </w:rPr>
        <w:t xml:space="preserve">National Longitudinal Transition </w:t>
      </w:r>
      <w:r w:rsidRPr="0064068D">
        <w:rPr>
          <w:i/>
        </w:rPr>
        <w:t xml:space="preserve">Study-2 </w:t>
      </w:r>
      <w:r w:rsidR="000C4008">
        <w:rPr>
          <w:i/>
        </w:rPr>
        <w:t>[</w:t>
      </w:r>
      <w:r w:rsidRPr="0064068D">
        <w:rPr>
          <w:i/>
        </w:rPr>
        <w:t>NLTS2</w:t>
      </w:r>
      <w:r w:rsidR="000C4008">
        <w:rPr>
          <w:i/>
        </w:rPr>
        <w:t>]</w:t>
      </w:r>
      <w:r w:rsidRPr="0064068D">
        <w:rPr>
          <w:i/>
        </w:rPr>
        <w:t>)</w:t>
      </w:r>
      <w:r w:rsidR="000C4008">
        <w:t>.</w:t>
      </w:r>
      <w:proofErr w:type="gramEnd"/>
      <w:r w:rsidRPr="0064068D">
        <w:rPr>
          <w:i/>
        </w:rPr>
        <w:t xml:space="preserve"> </w:t>
      </w:r>
      <w:r w:rsidR="000C4008">
        <w:t>Menlo Park, CA: SRI International</w:t>
      </w:r>
      <w:r w:rsidR="000C4008">
        <w:rPr>
          <w:i/>
        </w:rPr>
        <w:t>.</w:t>
      </w:r>
    </w:p>
    <w:p w14:paraId="20A464C8" w14:textId="1CCEFE98" w:rsidR="003D79E9" w:rsidRPr="00387AC4" w:rsidRDefault="003D79E9" w:rsidP="0023604C">
      <w:pPr>
        <w:pStyle w:val="References"/>
      </w:pPr>
      <w:proofErr w:type="spellStart"/>
      <w:r w:rsidRPr="00387AC4">
        <w:t>Lewin</w:t>
      </w:r>
      <w:proofErr w:type="spellEnd"/>
      <w:r w:rsidRPr="00387AC4">
        <w:t xml:space="preserve">, C. (2000). Exploring the effects of talking book software in UK primary classrooms. </w:t>
      </w:r>
      <w:r w:rsidRPr="00EC3CBA">
        <w:rPr>
          <w:i/>
        </w:rPr>
        <w:t>Journal of Research in Reading, 23</w:t>
      </w:r>
      <w:r w:rsidRPr="00387AC4">
        <w:t>(2), 149</w:t>
      </w:r>
      <w:r w:rsidR="00E536CD">
        <w:t>–</w:t>
      </w:r>
      <w:r w:rsidRPr="00387AC4">
        <w:t>157.</w:t>
      </w:r>
    </w:p>
    <w:p w14:paraId="5DBB181C" w14:textId="4C09DA2C" w:rsidR="003D79E9" w:rsidRPr="00387AC4" w:rsidRDefault="003D79E9" w:rsidP="0023604C">
      <w:pPr>
        <w:pStyle w:val="References"/>
      </w:pPr>
      <w:proofErr w:type="gramStart"/>
      <w:r w:rsidRPr="00387AC4">
        <w:lastRenderedPageBreak/>
        <w:t>MacArthur, C.</w:t>
      </w:r>
      <w:r w:rsidR="000C4008">
        <w:t xml:space="preserve"> </w:t>
      </w:r>
      <w:r w:rsidRPr="00387AC4">
        <w:t>A.</w:t>
      </w:r>
      <w:r>
        <w:t xml:space="preserve"> &amp; Haynes, J.</w:t>
      </w:r>
      <w:r w:rsidR="000C4008">
        <w:t xml:space="preserve"> </w:t>
      </w:r>
      <w:r w:rsidRPr="00387AC4">
        <w:t>B. (1995).</w:t>
      </w:r>
      <w:proofErr w:type="gramEnd"/>
      <w:r w:rsidRPr="00387AC4">
        <w:t xml:space="preserve"> Student assistant for learning from text (SALT): </w:t>
      </w:r>
      <w:r>
        <w:t xml:space="preserve"> </w:t>
      </w:r>
      <w:r w:rsidRPr="00387AC4">
        <w:t xml:space="preserve">A hypermedia reading aid. </w:t>
      </w:r>
      <w:r w:rsidRPr="00E26C63">
        <w:rPr>
          <w:i/>
        </w:rPr>
        <w:t>Journal of Learning Disabilities, 28</w:t>
      </w:r>
      <w:r w:rsidRPr="00387AC4">
        <w:t>(3), 50</w:t>
      </w:r>
      <w:r w:rsidR="00E536CD">
        <w:softHyphen/>
        <w:t>–</w:t>
      </w:r>
      <w:r w:rsidRPr="00387AC4">
        <w:t>59.</w:t>
      </w:r>
    </w:p>
    <w:p w14:paraId="6D98C0A3" w14:textId="3103A95F" w:rsidR="003D79E9" w:rsidRPr="00387AC4" w:rsidRDefault="003D79E9" w:rsidP="0023604C">
      <w:pPr>
        <w:pStyle w:val="References"/>
      </w:pPr>
      <w:proofErr w:type="gramStart"/>
      <w:r w:rsidRPr="00387AC4">
        <w:t>McDonnell, L., McLaughlin, M.</w:t>
      </w:r>
      <w:r w:rsidR="000C4008">
        <w:t>,</w:t>
      </w:r>
      <w:r w:rsidRPr="00387AC4">
        <w:t xml:space="preserve"> &amp; Morison, P. (1997).</w:t>
      </w:r>
      <w:proofErr w:type="gramEnd"/>
      <w:r w:rsidRPr="00387AC4">
        <w:t xml:space="preserve"> </w:t>
      </w:r>
      <w:r w:rsidRPr="00541400">
        <w:rPr>
          <w:i/>
        </w:rPr>
        <w:t>Educating one and all:  Students with disabilities in standards-based reform</w:t>
      </w:r>
      <w:r w:rsidRPr="00387AC4">
        <w:t>. Washington, DC: National Academy Press.</w:t>
      </w:r>
    </w:p>
    <w:p w14:paraId="18231E96" w14:textId="74855DC0" w:rsidR="003D79E9" w:rsidRPr="00387AC4" w:rsidRDefault="003D79E9" w:rsidP="0023604C">
      <w:pPr>
        <w:pStyle w:val="References"/>
      </w:pPr>
      <w:proofErr w:type="spellStart"/>
      <w:proofErr w:type="gramStart"/>
      <w:r w:rsidRPr="00387AC4">
        <w:t>Mc</w:t>
      </w:r>
      <w:r>
        <w:t>I</w:t>
      </w:r>
      <w:r w:rsidRPr="00387AC4">
        <w:t>nerney</w:t>
      </w:r>
      <w:proofErr w:type="spellEnd"/>
      <w:r w:rsidRPr="00387AC4">
        <w:t>, M., Riley, K.</w:t>
      </w:r>
      <w:r w:rsidR="000C4008">
        <w:t>,</w:t>
      </w:r>
      <w:r w:rsidRPr="00387AC4">
        <w:t xml:space="preserve"> &amp; </w:t>
      </w:r>
      <w:proofErr w:type="spellStart"/>
      <w:r w:rsidRPr="00387AC4">
        <w:t>Osher</w:t>
      </w:r>
      <w:proofErr w:type="spellEnd"/>
      <w:r w:rsidRPr="00387AC4">
        <w:t>, D. (1999).</w:t>
      </w:r>
      <w:proofErr w:type="gramEnd"/>
      <w:r w:rsidRPr="00387AC4">
        <w:t xml:space="preserve"> </w:t>
      </w:r>
      <w:proofErr w:type="gramStart"/>
      <w:r w:rsidRPr="00A32C4C">
        <w:rPr>
          <w:i/>
        </w:rPr>
        <w:t>Technology to Support Literacy Strategies for Students who are Deaf.</w:t>
      </w:r>
      <w:proofErr w:type="gramEnd"/>
      <w:r w:rsidRPr="00387AC4">
        <w:t xml:space="preserve"> </w:t>
      </w:r>
      <w:r w:rsidR="000C4008">
        <w:t xml:space="preserve">Washington, DC: </w:t>
      </w:r>
      <w:r w:rsidRPr="00387AC4">
        <w:t>American Institutes for Research.</w:t>
      </w:r>
    </w:p>
    <w:p w14:paraId="16590D3A" w14:textId="3B6A9074" w:rsidR="003D79E9" w:rsidRPr="00387AC4" w:rsidRDefault="003D79E9" w:rsidP="0023604C">
      <w:pPr>
        <w:pStyle w:val="References"/>
      </w:pPr>
      <w:proofErr w:type="gramStart"/>
      <w:r w:rsidRPr="00387AC4">
        <w:t>Moon, T.</w:t>
      </w:r>
      <w:r w:rsidR="000C4008">
        <w:t xml:space="preserve"> </w:t>
      </w:r>
      <w:r w:rsidRPr="00387AC4">
        <w:t>R., Callahan, C.</w:t>
      </w:r>
      <w:r w:rsidR="000C4008">
        <w:t xml:space="preserve"> </w:t>
      </w:r>
      <w:r w:rsidRPr="00387AC4">
        <w:t>M.</w:t>
      </w:r>
      <w:r w:rsidR="000C4008">
        <w:t>,</w:t>
      </w:r>
      <w:r w:rsidRPr="00387AC4">
        <w:t xml:space="preserve"> &amp; Tomlinson, C.</w:t>
      </w:r>
      <w:r w:rsidR="000C4008">
        <w:t xml:space="preserve"> </w:t>
      </w:r>
      <w:r w:rsidRPr="00387AC4">
        <w:t>A. (1999).</w:t>
      </w:r>
      <w:proofErr w:type="gramEnd"/>
      <w:r w:rsidRPr="00387AC4">
        <w:t xml:space="preserve"> The effects of mentoring relationships on </w:t>
      </w:r>
      <w:proofErr w:type="spellStart"/>
      <w:r w:rsidRPr="00387AC4">
        <w:t>preservice</w:t>
      </w:r>
      <w:proofErr w:type="spellEnd"/>
      <w:r w:rsidRPr="00387AC4">
        <w:t xml:space="preserve"> teachers’ attitudes toward academically diverse students. </w:t>
      </w:r>
      <w:r w:rsidRPr="00A12590">
        <w:rPr>
          <w:i/>
        </w:rPr>
        <w:t>Gifted Child Quarterly, 43</w:t>
      </w:r>
      <w:r w:rsidRPr="00387AC4">
        <w:t>(2), 56</w:t>
      </w:r>
      <w:r w:rsidR="00E536CD">
        <w:t>–</w:t>
      </w:r>
      <w:r w:rsidRPr="00387AC4">
        <w:t>62.</w:t>
      </w:r>
    </w:p>
    <w:p w14:paraId="715D2E67" w14:textId="31981423" w:rsidR="003D79E9" w:rsidRPr="00387AC4" w:rsidRDefault="003D79E9" w:rsidP="0023604C">
      <w:pPr>
        <w:pStyle w:val="References"/>
      </w:pPr>
      <w:proofErr w:type="gramStart"/>
      <w:r w:rsidRPr="00387AC4">
        <w:t>National Reading Panel (2000).</w:t>
      </w:r>
      <w:proofErr w:type="gramEnd"/>
      <w:r w:rsidRPr="00387AC4">
        <w:t xml:space="preserve"> </w:t>
      </w:r>
      <w:r w:rsidRPr="0070324A">
        <w:rPr>
          <w:i/>
        </w:rPr>
        <w:t>Teaching children to read: An evidence-based assessment of the scientific research literature on reading and its implications for reading instruction</w:t>
      </w:r>
      <w:r w:rsidRPr="0064068D">
        <w:t>.</w:t>
      </w:r>
      <w:r>
        <w:t xml:space="preserve"> </w:t>
      </w:r>
      <w:r w:rsidR="000C4008">
        <w:t xml:space="preserve">Washington, DC: </w:t>
      </w:r>
      <w:r w:rsidRPr="0070324A">
        <w:t>National Institute of Child Health and Human Development</w:t>
      </w:r>
      <w:r w:rsidRPr="000C4008">
        <w:t>.</w:t>
      </w:r>
    </w:p>
    <w:p w14:paraId="1ECA186F" w14:textId="4BF4874A" w:rsidR="003D79E9" w:rsidRPr="00387AC4" w:rsidRDefault="003D79E9" w:rsidP="0023604C">
      <w:pPr>
        <w:pStyle w:val="References"/>
      </w:pPr>
      <w:proofErr w:type="spellStart"/>
      <w:r w:rsidRPr="00387AC4">
        <w:t>Orkwis</w:t>
      </w:r>
      <w:proofErr w:type="spellEnd"/>
      <w:r w:rsidRPr="00387AC4">
        <w:t>, R.</w:t>
      </w:r>
      <w:r>
        <w:t xml:space="preserve"> (2003)</w:t>
      </w:r>
      <w:r w:rsidR="000C4008">
        <w:t>.</w:t>
      </w:r>
      <w:r w:rsidRPr="00387AC4">
        <w:t xml:space="preserve"> </w:t>
      </w:r>
      <w:proofErr w:type="gramStart"/>
      <w:r w:rsidRPr="00387AC4">
        <w:t xml:space="preserve">Universally </w:t>
      </w:r>
      <w:r w:rsidR="000C4008">
        <w:t>d</w:t>
      </w:r>
      <w:r w:rsidRPr="00387AC4">
        <w:t xml:space="preserve">esigned </w:t>
      </w:r>
      <w:r w:rsidR="000C4008">
        <w:t>i</w:t>
      </w:r>
      <w:r w:rsidRPr="00387AC4">
        <w:t>nstruction</w:t>
      </w:r>
      <w:r w:rsidR="000C4008">
        <w:t>.</w:t>
      </w:r>
      <w:proofErr w:type="gramEnd"/>
      <w:r w:rsidRPr="00387AC4">
        <w:t xml:space="preserve"> </w:t>
      </w:r>
      <w:r w:rsidR="000C4008">
        <w:t xml:space="preserve">Arlington, VA: </w:t>
      </w:r>
      <w:r w:rsidRPr="00387AC4">
        <w:t>ERIC Clearinghouse on Disabilities and Gifted Education</w:t>
      </w:r>
      <w:r w:rsidR="000C4008">
        <w:t xml:space="preserve">, </w:t>
      </w:r>
      <w:r w:rsidRPr="0070324A">
        <w:t>Council for Exceptional Children</w:t>
      </w:r>
      <w:r w:rsidRPr="000C4008">
        <w:t>.</w:t>
      </w:r>
    </w:p>
    <w:p w14:paraId="4A182D45" w14:textId="3982A261" w:rsidR="003D79E9" w:rsidRPr="00387AC4" w:rsidRDefault="003D79E9" w:rsidP="0023604C">
      <w:pPr>
        <w:pStyle w:val="References"/>
      </w:pPr>
      <w:proofErr w:type="spellStart"/>
      <w:r w:rsidRPr="00387AC4">
        <w:t>Orkwis</w:t>
      </w:r>
      <w:proofErr w:type="spellEnd"/>
      <w:r w:rsidRPr="00387AC4">
        <w:t xml:space="preserve">, R. </w:t>
      </w:r>
      <w:r>
        <w:t xml:space="preserve">(1999). </w:t>
      </w:r>
      <w:proofErr w:type="gramStart"/>
      <w:r w:rsidRPr="00387AC4">
        <w:t xml:space="preserve">Curriculum </w:t>
      </w:r>
      <w:r w:rsidR="000C4008">
        <w:t>a</w:t>
      </w:r>
      <w:r w:rsidRPr="00387AC4">
        <w:t xml:space="preserve">ccess and </w:t>
      </w:r>
      <w:r w:rsidR="000C4008">
        <w:t>u</w:t>
      </w:r>
      <w:r w:rsidRPr="00387AC4">
        <w:t xml:space="preserve">niversal </w:t>
      </w:r>
      <w:r w:rsidR="000C4008">
        <w:t>d</w:t>
      </w:r>
      <w:r w:rsidRPr="00387AC4">
        <w:t xml:space="preserve">esign for </w:t>
      </w:r>
      <w:r w:rsidR="000C4008">
        <w:t>l</w:t>
      </w:r>
      <w:r w:rsidRPr="00387AC4">
        <w:t>earning.</w:t>
      </w:r>
      <w:proofErr w:type="gramEnd"/>
      <w:r w:rsidRPr="00387AC4">
        <w:t xml:space="preserve"> </w:t>
      </w:r>
      <w:proofErr w:type="gramStart"/>
      <w:r w:rsidRPr="0064068D">
        <w:rPr>
          <w:i/>
        </w:rPr>
        <w:t>ERIC/OSEP Digest #E586</w:t>
      </w:r>
      <w:r>
        <w:t>.</w:t>
      </w:r>
      <w:proofErr w:type="gramEnd"/>
      <w:r>
        <w:t xml:space="preserve"> Reston, VA</w:t>
      </w:r>
      <w:r w:rsidR="000C4008">
        <w:t>: Council for Exceptional Children</w:t>
      </w:r>
      <w:r>
        <w:t>.</w:t>
      </w:r>
    </w:p>
    <w:p w14:paraId="1C8D8CD5" w14:textId="7C69F3BA" w:rsidR="003D79E9" w:rsidRPr="00387AC4" w:rsidRDefault="003D79E9" w:rsidP="0023604C">
      <w:pPr>
        <w:pStyle w:val="References"/>
      </w:pPr>
      <w:proofErr w:type="spellStart"/>
      <w:r w:rsidRPr="00387AC4">
        <w:t>Padden</w:t>
      </w:r>
      <w:proofErr w:type="spellEnd"/>
      <w:r w:rsidRPr="00387AC4">
        <w:t>, C.</w:t>
      </w:r>
      <w:r w:rsidR="000C4008">
        <w:t>,</w:t>
      </w:r>
      <w:r w:rsidRPr="00387AC4">
        <w:t xml:space="preserve"> &amp; Ramsey, C. (1998). Reading ability in signing Deaf children. In </w:t>
      </w:r>
      <w:r w:rsidR="0093465D">
        <w:t xml:space="preserve">P. </w:t>
      </w:r>
      <w:proofErr w:type="spellStart"/>
      <w:r w:rsidRPr="00387AC4">
        <w:t>Prinz</w:t>
      </w:r>
      <w:proofErr w:type="spellEnd"/>
      <w:r w:rsidRPr="00387AC4">
        <w:t xml:space="preserve"> (Ed.) ASL proficiency and English literacy acquisition: </w:t>
      </w:r>
      <w:r>
        <w:t xml:space="preserve"> </w:t>
      </w:r>
      <w:r w:rsidRPr="00387AC4">
        <w:t xml:space="preserve">New perspectives. </w:t>
      </w:r>
      <w:r w:rsidRPr="005623B9">
        <w:rPr>
          <w:i/>
        </w:rPr>
        <w:t>Topics in Language Disorders 18</w:t>
      </w:r>
      <w:r w:rsidRPr="00387AC4">
        <w:t>(4), 30</w:t>
      </w:r>
      <w:r w:rsidR="00E536CD">
        <w:t>–</w:t>
      </w:r>
      <w:r w:rsidRPr="00387AC4">
        <w:t>46.</w:t>
      </w:r>
    </w:p>
    <w:p w14:paraId="7D6075E8" w14:textId="0A26C800" w:rsidR="003D79E9" w:rsidRPr="0064068D" w:rsidRDefault="003D79E9" w:rsidP="0023604C">
      <w:pPr>
        <w:pStyle w:val="References"/>
        <w:rPr>
          <w:b/>
          <w:i/>
        </w:rPr>
      </w:pPr>
      <w:r w:rsidRPr="00387AC4">
        <w:t xml:space="preserve">Perl, </w:t>
      </w:r>
      <w:r>
        <w:t>E.</w:t>
      </w:r>
      <w:r w:rsidR="0093465D">
        <w:t xml:space="preserve"> </w:t>
      </w:r>
      <w:r>
        <w:t>S.</w:t>
      </w:r>
      <w:r w:rsidR="00E536CD">
        <w:t>,</w:t>
      </w:r>
      <w:r>
        <w:t xml:space="preserve"> &amp;</w:t>
      </w:r>
      <w:r w:rsidRPr="00387AC4">
        <w:t xml:space="preserve"> Gordon</w:t>
      </w:r>
      <w:r>
        <w:t xml:space="preserve">, D. (2003). </w:t>
      </w:r>
      <w:proofErr w:type="gramStart"/>
      <w:r w:rsidRPr="00387AC4">
        <w:t xml:space="preserve">A </w:t>
      </w:r>
      <w:r w:rsidR="0093465D">
        <w:t>c</w:t>
      </w:r>
      <w:r w:rsidRPr="00387AC4">
        <w:t xml:space="preserve">oncise </w:t>
      </w:r>
      <w:r w:rsidR="0093465D">
        <w:t>s</w:t>
      </w:r>
      <w:r w:rsidRPr="00387AC4">
        <w:t xml:space="preserve">ummary of </w:t>
      </w:r>
      <w:r w:rsidR="0093465D">
        <w:t>s</w:t>
      </w:r>
      <w:r w:rsidRPr="00387AC4">
        <w:t xml:space="preserve">tate </w:t>
      </w:r>
      <w:r w:rsidR="0093465D">
        <w:t>l</w:t>
      </w:r>
      <w:r w:rsidRPr="00387AC4">
        <w:t xml:space="preserve">aws </w:t>
      </w:r>
      <w:r w:rsidR="0093465D">
        <w:t>p</w:t>
      </w:r>
      <w:r w:rsidRPr="00387AC4">
        <w:t xml:space="preserve">ertaining to the </w:t>
      </w:r>
      <w:r w:rsidR="0093465D">
        <w:t>p</w:t>
      </w:r>
      <w:r w:rsidRPr="00387AC4">
        <w:t xml:space="preserve">rovision of </w:t>
      </w:r>
      <w:r w:rsidR="0093465D">
        <w:t>a</w:t>
      </w:r>
      <w:r w:rsidRPr="00387AC4">
        <w:t xml:space="preserve">ccessible </w:t>
      </w:r>
      <w:r w:rsidR="0093465D">
        <w:t>m</w:t>
      </w:r>
      <w:r w:rsidRPr="00387AC4">
        <w:t>aterials for K</w:t>
      </w:r>
      <w:r>
        <w:t>–</w:t>
      </w:r>
      <w:r w:rsidRPr="00387AC4">
        <w:t xml:space="preserve">12 </w:t>
      </w:r>
      <w:r w:rsidR="0093465D">
        <w:t>s</w:t>
      </w:r>
      <w:r w:rsidRPr="00387AC4">
        <w:t xml:space="preserve">tudents with </w:t>
      </w:r>
      <w:r w:rsidR="0093465D">
        <w:t>p</w:t>
      </w:r>
      <w:r w:rsidRPr="00387AC4">
        <w:t xml:space="preserve">rint </w:t>
      </w:r>
      <w:r w:rsidR="0093465D">
        <w:t>d</w:t>
      </w:r>
      <w:r w:rsidRPr="00387AC4">
        <w:t>isabilities</w:t>
      </w:r>
      <w:r>
        <w:t>.</w:t>
      </w:r>
      <w:proofErr w:type="gramEnd"/>
      <w:r>
        <w:t xml:space="preserve"> </w:t>
      </w:r>
      <w:proofErr w:type="gramStart"/>
      <w:r w:rsidR="0093465D">
        <w:t>(Policy Brief).</w:t>
      </w:r>
      <w:proofErr w:type="gramEnd"/>
      <w:r w:rsidR="0093465D">
        <w:t xml:space="preserve"> Wakefield, MA: National Center on Accessing the General Curriculum. </w:t>
      </w:r>
    </w:p>
    <w:p w14:paraId="78983DC3" w14:textId="5ADFE455" w:rsidR="003D79E9" w:rsidRPr="00387AC4" w:rsidRDefault="003D79E9" w:rsidP="0023604C">
      <w:pPr>
        <w:pStyle w:val="References"/>
      </w:pPr>
      <w:proofErr w:type="gramStart"/>
      <w:r w:rsidRPr="00387AC4">
        <w:t xml:space="preserve">Perl, E. </w:t>
      </w:r>
      <w:r>
        <w:t>(2002).</w:t>
      </w:r>
      <w:proofErr w:type="gramEnd"/>
      <w:r>
        <w:t xml:space="preserve"> </w:t>
      </w:r>
      <w:proofErr w:type="gramStart"/>
      <w:r w:rsidRPr="00A32C4C">
        <w:rPr>
          <w:i/>
        </w:rPr>
        <w:t xml:space="preserve">Federal and </w:t>
      </w:r>
      <w:r w:rsidR="0093465D">
        <w:rPr>
          <w:i/>
        </w:rPr>
        <w:t>s</w:t>
      </w:r>
      <w:r w:rsidRPr="00A32C4C">
        <w:rPr>
          <w:i/>
        </w:rPr>
        <w:t xml:space="preserve">tate </w:t>
      </w:r>
      <w:r w:rsidR="0093465D">
        <w:rPr>
          <w:i/>
        </w:rPr>
        <w:t>l</w:t>
      </w:r>
      <w:r w:rsidRPr="00A32C4C">
        <w:rPr>
          <w:i/>
        </w:rPr>
        <w:t xml:space="preserve">egislation </w:t>
      </w:r>
      <w:r w:rsidR="0093465D">
        <w:rPr>
          <w:i/>
        </w:rPr>
        <w:t>r</w:t>
      </w:r>
      <w:r w:rsidRPr="00A32C4C">
        <w:rPr>
          <w:i/>
        </w:rPr>
        <w:t xml:space="preserve">egarding </w:t>
      </w:r>
      <w:r w:rsidR="0093465D">
        <w:rPr>
          <w:i/>
        </w:rPr>
        <w:t>a</w:t>
      </w:r>
      <w:r w:rsidRPr="00A32C4C">
        <w:rPr>
          <w:i/>
        </w:rPr>
        <w:t xml:space="preserve">ccessible </w:t>
      </w:r>
      <w:r w:rsidR="0093465D">
        <w:rPr>
          <w:i/>
        </w:rPr>
        <w:t>i</w:t>
      </w:r>
      <w:r w:rsidRPr="00A32C4C">
        <w:rPr>
          <w:i/>
        </w:rPr>
        <w:t xml:space="preserve">nstructional </w:t>
      </w:r>
      <w:r w:rsidR="0093465D">
        <w:rPr>
          <w:i/>
        </w:rPr>
        <w:t>m</w:t>
      </w:r>
      <w:r w:rsidRPr="00A32C4C">
        <w:rPr>
          <w:i/>
        </w:rPr>
        <w:t>aterials</w:t>
      </w:r>
      <w:r>
        <w:t>.</w:t>
      </w:r>
      <w:proofErr w:type="gramEnd"/>
      <w:r w:rsidRPr="00387AC4">
        <w:t xml:space="preserve"> </w:t>
      </w:r>
      <w:r w:rsidR="0093465D">
        <w:t xml:space="preserve">Wakefield, MA: </w:t>
      </w:r>
      <w:r w:rsidRPr="00387AC4">
        <w:t>National Center on Accessing the General Curriculum</w:t>
      </w:r>
    </w:p>
    <w:p w14:paraId="0386650B" w14:textId="57AFF35A" w:rsidR="003D79E9" w:rsidRPr="00387AC4" w:rsidRDefault="003D79E9" w:rsidP="0023604C">
      <w:pPr>
        <w:pStyle w:val="References"/>
      </w:pPr>
      <w:r w:rsidRPr="00387AC4">
        <w:t xml:space="preserve">Peter Li Education Group </w:t>
      </w:r>
      <w:r>
        <w:t xml:space="preserve">(2002). </w:t>
      </w:r>
      <w:proofErr w:type="gramStart"/>
      <w:r w:rsidRPr="00C51CDE">
        <w:rPr>
          <w:i/>
        </w:rPr>
        <w:t xml:space="preserve">A </w:t>
      </w:r>
      <w:r w:rsidR="0093465D">
        <w:rPr>
          <w:i/>
        </w:rPr>
        <w:t>p</w:t>
      </w:r>
      <w:r w:rsidRPr="00C51CDE">
        <w:rPr>
          <w:i/>
        </w:rPr>
        <w:t xml:space="preserve">rofile of the </w:t>
      </w:r>
      <w:r w:rsidR="0093465D">
        <w:rPr>
          <w:i/>
        </w:rPr>
        <w:t>s</w:t>
      </w:r>
      <w:r w:rsidRPr="00C51CDE">
        <w:rPr>
          <w:i/>
        </w:rPr>
        <w:t>ite-</w:t>
      </w:r>
      <w:r w:rsidR="0093465D">
        <w:rPr>
          <w:i/>
        </w:rPr>
        <w:t>b</w:t>
      </w:r>
      <w:r w:rsidRPr="00C51CDE">
        <w:rPr>
          <w:i/>
        </w:rPr>
        <w:t xml:space="preserve">ased </w:t>
      </w:r>
      <w:r w:rsidR="0093465D">
        <w:rPr>
          <w:i/>
        </w:rPr>
        <w:t>p</w:t>
      </w:r>
      <w:r w:rsidRPr="00C51CDE">
        <w:rPr>
          <w:i/>
        </w:rPr>
        <w:t xml:space="preserve">ublic and </w:t>
      </w:r>
      <w:r w:rsidR="0093465D">
        <w:rPr>
          <w:i/>
        </w:rPr>
        <w:t>p</w:t>
      </w:r>
      <w:r w:rsidRPr="00C51CDE">
        <w:rPr>
          <w:i/>
        </w:rPr>
        <w:t xml:space="preserve">rivate </w:t>
      </w:r>
      <w:r w:rsidR="0093465D">
        <w:rPr>
          <w:i/>
        </w:rPr>
        <w:t>s</w:t>
      </w:r>
      <w:r w:rsidRPr="00C51CDE">
        <w:rPr>
          <w:i/>
        </w:rPr>
        <w:t xml:space="preserve">chool </w:t>
      </w:r>
      <w:r w:rsidR="0093465D">
        <w:rPr>
          <w:i/>
        </w:rPr>
        <w:t>m</w:t>
      </w:r>
      <w:r w:rsidRPr="00C51CDE">
        <w:rPr>
          <w:i/>
        </w:rPr>
        <w:t>arket</w:t>
      </w:r>
      <w:r>
        <w:t>.</w:t>
      </w:r>
      <w:proofErr w:type="gramEnd"/>
      <w:r w:rsidR="0093465D">
        <w:t xml:space="preserve"> Phoenix, AZ: Author.</w:t>
      </w:r>
    </w:p>
    <w:p w14:paraId="55DF0C92" w14:textId="6C44FCEF" w:rsidR="003D79E9" w:rsidRPr="00387AC4" w:rsidRDefault="003D79E9" w:rsidP="0023604C">
      <w:pPr>
        <w:pStyle w:val="References"/>
      </w:pPr>
      <w:proofErr w:type="spellStart"/>
      <w:proofErr w:type="gramStart"/>
      <w:r w:rsidRPr="00387AC4">
        <w:t>Prinz</w:t>
      </w:r>
      <w:proofErr w:type="spellEnd"/>
      <w:r w:rsidRPr="00387AC4">
        <w:t>, P.</w:t>
      </w:r>
      <w:r w:rsidR="00E536CD">
        <w:t>,</w:t>
      </w:r>
      <w:r w:rsidRPr="00387AC4">
        <w:t xml:space="preserve"> &amp; Strong, M. (1998) ASL proficiency and English literacy within a bilingual Deaf education model of instruction.</w:t>
      </w:r>
      <w:proofErr w:type="gramEnd"/>
      <w:r w:rsidRPr="00387AC4">
        <w:t xml:space="preserve"> In </w:t>
      </w:r>
      <w:r w:rsidR="0093465D">
        <w:t xml:space="preserve">P. </w:t>
      </w:r>
      <w:proofErr w:type="spellStart"/>
      <w:r w:rsidRPr="00387AC4">
        <w:t>Prinz</w:t>
      </w:r>
      <w:proofErr w:type="spellEnd"/>
      <w:r w:rsidRPr="00387AC4">
        <w:t xml:space="preserve"> (Ed.) ASL proficiency and English literacy acquisition: </w:t>
      </w:r>
      <w:r>
        <w:t xml:space="preserve"> </w:t>
      </w:r>
      <w:r w:rsidRPr="00387AC4">
        <w:t xml:space="preserve">New perspectives. </w:t>
      </w:r>
      <w:r w:rsidRPr="005623B9">
        <w:rPr>
          <w:i/>
        </w:rPr>
        <w:t>Topics in Language Disorders, 18</w:t>
      </w:r>
      <w:r w:rsidRPr="00387AC4">
        <w:t>(4), 47</w:t>
      </w:r>
      <w:r w:rsidR="00E536CD">
        <w:t>–</w:t>
      </w:r>
      <w:r w:rsidRPr="00387AC4">
        <w:t>60.</w:t>
      </w:r>
    </w:p>
    <w:p w14:paraId="68F21201" w14:textId="1D259D99" w:rsidR="003D79E9" w:rsidRPr="00387AC4" w:rsidRDefault="003D79E9" w:rsidP="0023604C">
      <w:pPr>
        <w:pStyle w:val="References"/>
      </w:pPr>
      <w:proofErr w:type="spellStart"/>
      <w:r w:rsidRPr="00387AC4">
        <w:t>Ravitch</w:t>
      </w:r>
      <w:proofErr w:type="spellEnd"/>
      <w:r w:rsidRPr="00387AC4">
        <w:t>, D.</w:t>
      </w:r>
      <w:r>
        <w:t xml:space="preserve"> (2000</w:t>
      </w:r>
      <w:r w:rsidRPr="00570DCA">
        <w:t>)</w:t>
      </w:r>
      <w:r w:rsidRPr="00A32C4C">
        <w:rPr>
          <w:i/>
        </w:rPr>
        <w:t xml:space="preserve">. </w:t>
      </w:r>
      <w:r w:rsidRPr="0070324A">
        <w:t xml:space="preserve">The reauthorization of the federal Elementary and Secondary Education Act:  An Introduction </w:t>
      </w:r>
      <w:r w:rsidR="0093465D">
        <w:t>(</w:t>
      </w:r>
      <w:r w:rsidRPr="0070324A">
        <w:t>Brooking</w:t>
      </w:r>
      <w:r w:rsidR="0093465D">
        <w:t>s</w:t>
      </w:r>
      <w:r w:rsidRPr="0070324A">
        <w:t xml:space="preserve"> Papers on Educational Policy</w:t>
      </w:r>
      <w:r w:rsidR="0093465D">
        <w:t>)</w:t>
      </w:r>
      <w:r>
        <w:t>.</w:t>
      </w:r>
      <w:r w:rsidRPr="00387AC4">
        <w:t xml:space="preserve"> </w:t>
      </w:r>
      <w:r w:rsidR="0093465D" w:rsidRPr="00387AC4">
        <w:t>Washington, DC</w:t>
      </w:r>
      <w:r w:rsidR="0093465D">
        <w:t>:</w:t>
      </w:r>
      <w:r w:rsidR="0093465D" w:rsidRPr="00387AC4">
        <w:t xml:space="preserve"> </w:t>
      </w:r>
      <w:r w:rsidRPr="00387AC4">
        <w:t>Brookings Institut</w:t>
      </w:r>
      <w:r w:rsidR="0093465D">
        <w:t>ion.</w:t>
      </w:r>
    </w:p>
    <w:p w14:paraId="29A9AFD1" w14:textId="6B29AFAA" w:rsidR="003D79E9" w:rsidRPr="00387AC4" w:rsidRDefault="003D79E9" w:rsidP="0023604C">
      <w:pPr>
        <w:pStyle w:val="References"/>
      </w:pPr>
      <w:proofErr w:type="spellStart"/>
      <w:r w:rsidRPr="00387AC4">
        <w:t>Roblin</w:t>
      </w:r>
      <w:proofErr w:type="spellEnd"/>
      <w:r w:rsidRPr="00387AC4">
        <w:t>, J. (</w:t>
      </w:r>
      <w:r w:rsidR="0093465D">
        <w:t>1955</w:t>
      </w:r>
      <w:r w:rsidRPr="00387AC4">
        <w:t xml:space="preserve">) </w:t>
      </w:r>
      <w:r w:rsidRPr="0070324A">
        <w:rPr>
          <w:i/>
        </w:rPr>
        <w:t xml:space="preserve">The </w:t>
      </w:r>
      <w:r w:rsidR="0093465D" w:rsidRPr="0070324A">
        <w:rPr>
          <w:i/>
        </w:rPr>
        <w:t>r</w:t>
      </w:r>
      <w:r w:rsidRPr="0070324A">
        <w:rPr>
          <w:i/>
        </w:rPr>
        <w:t xml:space="preserve">eading </w:t>
      </w:r>
      <w:r w:rsidR="0093465D" w:rsidRPr="0070324A">
        <w:rPr>
          <w:i/>
        </w:rPr>
        <w:t>f</w:t>
      </w:r>
      <w:r w:rsidRPr="0070324A">
        <w:rPr>
          <w:i/>
        </w:rPr>
        <w:t xml:space="preserve">ingers:  The </w:t>
      </w:r>
      <w:r w:rsidR="0093465D" w:rsidRPr="0070324A">
        <w:rPr>
          <w:i/>
        </w:rPr>
        <w:t>l</w:t>
      </w:r>
      <w:r w:rsidRPr="0070324A">
        <w:rPr>
          <w:i/>
        </w:rPr>
        <w:t>ife of Louis Braille.</w:t>
      </w:r>
      <w:r w:rsidRPr="00387AC4">
        <w:t xml:space="preserve"> Tran</w:t>
      </w:r>
      <w:r w:rsidR="0093465D">
        <w:t xml:space="preserve">s. </w:t>
      </w:r>
      <w:r w:rsidRPr="00387AC4">
        <w:t>R</w:t>
      </w:r>
      <w:r w:rsidR="0093465D">
        <w:t>.</w:t>
      </w:r>
      <w:r w:rsidRPr="00387AC4">
        <w:t xml:space="preserve"> G. </w:t>
      </w:r>
      <w:proofErr w:type="spellStart"/>
      <w:r w:rsidRPr="00387AC4">
        <w:t>Mandalian</w:t>
      </w:r>
      <w:proofErr w:type="spellEnd"/>
      <w:r w:rsidRPr="00387AC4">
        <w:t>. New York:</w:t>
      </w:r>
      <w:r w:rsidRPr="0070324A">
        <w:rPr>
          <w:i/>
        </w:rPr>
        <w:t xml:space="preserve">  </w:t>
      </w:r>
      <w:r w:rsidRPr="0070324A">
        <w:t>American Foundation for the Blind</w:t>
      </w:r>
      <w:r w:rsidRPr="0093465D">
        <w:t>.</w:t>
      </w:r>
      <w:r w:rsidRPr="00387AC4">
        <w:t xml:space="preserve"> (Reprinted, 1993)</w:t>
      </w:r>
    </w:p>
    <w:p w14:paraId="6DCABDA3" w14:textId="20E49FFE" w:rsidR="003D79E9" w:rsidRPr="00387AC4" w:rsidRDefault="003D79E9" w:rsidP="0023604C">
      <w:pPr>
        <w:pStyle w:val="References"/>
      </w:pPr>
      <w:proofErr w:type="gramStart"/>
      <w:r w:rsidRPr="00387AC4">
        <w:t>Rose</w:t>
      </w:r>
      <w:proofErr w:type="gramEnd"/>
      <w:r w:rsidRPr="00387AC4">
        <w:t>, D.</w:t>
      </w:r>
      <w:r w:rsidR="00E536CD">
        <w:t xml:space="preserve"> H.,</w:t>
      </w:r>
      <w:r w:rsidRPr="00387AC4">
        <w:t xml:space="preserve"> &amp; Meyer, A. (2002). </w:t>
      </w:r>
      <w:r w:rsidRPr="00A12590">
        <w:rPr>
          <w:i/>
        </w:rPr>
        <w:t xml:space="preserve">Teaching </w:t>
      </w:r>
      <w:r w:rsidR="0093465D">
        <w:rPr>
          <w:i/>
        </w:rPr>
        <w:t>e</w:t>
      </w:r>
      <w:r w:rsidRPr="00A12590">
        <w:rPr>
          <w:i/>
        </w:rPr>
        <w:t xml:space="preserve">very </w:t>
      </w:r>
      <w:r w:rsidR="0093465D">
        <w:rPr>
          <w:i/>
        </w:rPr>
        <w:t>s</w:t>
      </w:r>
      <w:r w:rsidRPr="00A12590">
        <w:rPr>
          <w:i/>
        </w:rPr>
        <w:t xml:space="preserve">tudent in the </w:t>
      </w:r>
      <w:r w:rsidR="0093465D">
        <w:rPr>
          <w:i/>
        </w:rPr>
        <w:t>d</w:t>
      </w:r>
      <w:r w:rsidRPr="00A12590">
        <w:rPr>
          <w:i/>
        </w:rPr>
        <w:t xml:space="preserve">igital </w:t>
      </w:r>
      <w:r w:rsidR="0093465D">
        <w:rPr>
          <w:i/>
        </w:rPr>
        <w:t>a</w:t>
      </w:r>
      <w:r w:rsidRPr="00A12590">
        <w:rPr>
          <w:i/>
        </w:rPr>
        <w:t>ge:  Universal Design for Learning</w:t>
      </w:r>
      <w:r w:rsidRPr="00387AC4">
        <w:t xml:space="preserve">. </w:t>
      </w:r>
      <w:r w:rsidR="00E536CD">
        <w:t xml:space="preserve">Alexandria, VA: </w:t>
      </w:r>
      <w:r w:rsidRPr="00387AC4">
        <w:t>ASCD.</w:t>
      </w:r>
    </w:p>
    <w:p w14:paraId="15DA18D1" w14:textId="43C262C6" w:rsidR="003D79E9" w:rsidRPr="00387AC4" w:rsidRDefault="003D79E9" w:rsidP="0023604C">
      <w:pPr>
        <w:pStyle w:val="References"/>
      </w:pPr>
      <w:proofErr w:type="gramStart"/>
      <w:r w:rsidRPr="00387AC4">
        <w:t>American Foundation for the Blind</w:t>
      </w:r>
      <w:r>
        <w:t>.</w:t>
      </w:r>
      <w:proofErr w:type="gramEnd"/>
      <w:r w:rsidRPr="00387AC4">
        <w:t xml:space="preserve"> </w:t>
      </w:r>
      <w:r>
        <w:t>(</w:t>
      </w:r>
      <w:r w:rsidRPr="00387AC4">
        <w:t>2003</w:t>
      </w:r>
      <w:r>
        <w:t>)</w:t>
      </w:r>
      <w:proofErr w:type="gramStart"/>
      <w:r>
        <w:t>.</w:t>
      </w:r>
      <w:r w:rsidR="0093465D">
        <w:t xml:space="preserve"> </w:t>
      </w:r>
      <w:r w:rsidR="0093465D" w:rsidRPr="0070324A">
        <w:rPr>
          <w:i/>
        </w:rPr>
        <w:t xml:space="preserve">State </w:t>
      </w:r>
      <w:r w:rsidR="00A914AD" w:rsidRPr="0070324A">
        <w:rPr>
          <w:i/>
        </w:rPr>
        <w:t>b</w:t>
      </w:r>
      <w:r w:rsidR="00E536CD" w:rsidRPr="0070324A">
        <w:rPr>
          <w:i/>
        </w:rPr>
        <w:t>raille</w:t>
      </w:r>
      <w:r w:rsidR="00A914AD" w:rsidRPr="0070324A">
        <w:rPr>
          <w:i/>
        </w:rPr>
        <w:t xml:space="preserve"> l</w:t>
      </w:r>
      <w:r w:rsidR="0093465D" w:rsidRPr="0070324A">
        <w:rPr>
          <w:i/>
        </w:rPr>
        <w:t>aws.</w:t>
      </w:r>
      <w:proofErr w:type="gramEnd"/>
      <w:r w:rsidR="0093465D">
        <w:t xml:space="preserve"> New York: Author.</w:t>
      </w:r>
    </w:p>
    <w:p w14:paraId="6AF6D47A" w14:textId="135429D0" w:rsidR="003D79E9" w:rsidRPr="00387AC4" w:rsidRDefault="003D79E9" w:rsidP="0023604C">
      <w:pPr>
        <w:pStyle w:val="References"/>
      </w:pPr>
      <w:proofErr w:type="gramStart"/>
      <w:r w:rsidRPr="00387AC4">
        <w:t>Strong, M.</w:t>
      </w:r>
      <w:r w:rsidR="00E536CD">
        <w:t>,</w:t>
      </w:r>
      <w:r w:rsidRPr="00387AC4">
        <w:t xml:space="preserve"> </w:t>
      </w:r>
      <w:r>
        <w:t>&amp;</w:t>
      </w:r>
      <w:r w:rsidRPr="00387AC4">
        <w:t xml:space="preserve"> </w:t>
      </w:r>
      <w:proofErr w:type="spellStart"/>
      <w:r w:rsidRPr="00387AC4">
        <w:t>Prinz</w:t>
      </w:r>
      <w:proofErr w:type="spellEnd"/>
      <w:r w:rsidRPr="00387AC4">
        <w:t>, P. (1997).</w:t>
      </w:r>
      <w:proofErr w:type="gramEnd"/>
      <w:r w:rsidRPr="00387AC4">
        <w:t xml:space="preserve"> </w:t>
      </w:r>
      <w:proofErr w:type="gramStart"/>
      <w:r w:rsidRPr="00387AC4">
        <w:t>A study of the relationship between American Sign Language and English literacy.</w:t>
      </w:r>
      <w:proofErr w:type="gramEnd"/>
      <w:r w:rsidRPr="00387AC4">
        <w:t xml:space="preserve"> </w:t>
      </w:r>
      <w:r w:rsidRPr="005623B9">
        <w:rPr>
          <w:i/>
        </w:rPr>
        <w:t>Journal of Deaf Studies and Deaf Education, 2</w:t>
      </w:r>
      <w:r w:rsidRPr="00387AC4">
        <w:t>(1), 37</w:t>
      </w:r>
      <w:r w:rsidR="00E536CD">
        <w:t>–</w:t>
      </w:r>
      <w:r w:rsidRPr="00387AC4">
        <w:t>46.</w:t>
      </w:r>
    </w:p>
    <w:p w14:paraId="1A424243" w14:textId="054A7FC0" w:rsidR="003D79E9" w:rsidRPr="00387AC4" w:rsidRDefault="003D79E9" w:rsidP="0023604C">
      <w:pPr>
        <w:pStyle w:val="References"/>
      </w:pPr>
      <w:proofErr w:type="gramStart"/>
      <w:r w:rsidRPr="00387AC4">
        <w:t>Thom</w:t>
      </w:r>
      <w:r>
        <w:t>p</w:t>
      </w:r>
      <w:r w:rsidRPr="00387AC4">
        <w:t>son, S.</w:t>
      </w:r>
      <w:r w:rsidR="00E536CD">
        <w:t>,</w:t>
      </w:r>
      <w:r w:rsidRPr="00387AC4">
        <w:t xml:space="preserve"> &amp; </w:t>
      </w:r>
      <w:proofErr w:type="spellStart"/>
      <w:r w:rsidRPr="00387AC4">
        <w:t>Thurlow</w:t>
      </w:r>
      <w:proofErr w:type="spellEnd"/>
      <w:r w:rsidRPr="00387AC4">
        <w:t>, M. (2002</w:t>
      </w:r>
      <w:r w:rsidRPr="00541400">
        <w:rPr>
          <w:i/>
        </w:rPr>
        <w:t>).</w:t>
      </w:r>
      <w:proofErr w:type="gramEnd"/>
      <w:r w:rsidRPr="00541400">
        <w:rPr>
          <w:i/>
        </w:rPr>
        <w:t xml:space="preserve"> </w:t>
      </w:r>
      <w:hyperlink r:id="rId17" w:history="1">
        <w:r w:rsidRPr="00380019">
          <w:rPr>
            <w:rStyle w:val="Hyperlink"/>
            <w:i/>
          </w:rPr>
          <w:t>Universally designed assessments:  Better tests for everyone!</w:t>
        </w:r>
      </w:hyperlink>
      <w:r w:rsidRPr="00387AC4">
        <w:t xml:space="preserve"> </w:t>
      </w:r>
      <w:proofErr w:type="gramStart"/>
      <w:r w:rsidRPr="00387AC4">
        <w:t>(Policy Directions No. 14).</w:t>
      </w:r>
      <w:proofErr w:type="gramEnd"/>
      <w:r w:rsidRPr="00387AC4">
        <w:t xml:space="preserve"> Minneapolis, MN: </w:t>
      </w:r>
      <w:r>
        <w:t xml:space="preserve"> </w:t>
      </w:r>
      <w:r w:rsidRPr="00387AC4">
        <w:t xml:space="preserve">University of Minnesota, National Center on Educational Outcomes. Retrieved from </w:t>
      </w:r>
      <w:r w:rsidRPr="00380019">
        <w:rPr>
          <w:rFonts w:eastAsiaTheme="majorEastAsia"/>
        </w:rPr>
        <w:t>http://education.umn.edu/NCEO/OnlinePubs/Policy14.htm</w:t>
      </w:r>
    </w:p>
    <w:p w14:paraId="7AF4B437" w14:textId="14F4BD9F" w:rsidR="003D79E9" w:rsidRPr="00387AC4" w:rsidRDefault="003D79E9" w:rsidP="0023604C">
      <w:pPr>
        <w:pStyle w:val="References"/>
      </w:pPr>
      <w:proofErr w:type="spellStart"/>
      <w:r w:rsidRPr="00387AC4">
        <w:lastRenderedPageBreak/>
        <w:t>Thurlow</w:t>
      </w:r>
      <w:proofErr w:type="spellEnd"/>
      <w:r w:rsidRPr="00387AC4">
        <w:t xml:space="preserve">, M. (2002b). Positive educational results for all students: </w:t>
      </w:r>
      <w:r>
        <w:t xml:space="preserve"> </w:t>
      </w:r>
      <w:r w:rsidRPr="00387AC4">
        <w:t>The promise of standards</w:t>
      </w:r>
      <w:r>
        <w:t xml:space="preserve"> </w:t>
      </w:r>
      <w:r w:rsidRPr="00387AC4">
        <w:t xml:space="preserve">based reform. </w:t>
      </w:r>
      <w:r w:rsidRPr="00541400">
        <w:rPr>
          <w:i/>
        </w:rPr>
        <w:t>Remedial and Special Education, 23</w:t>
      </w:r>
      <w:r w:rsidRPr="00387AC4">
        <w:t>(4). 195</w:t>
      </w:r>
      <w:r w:rsidR="00E536CD">
        <w:t>–</w:t>
      </w:r>
      <w:r w:rsidRPr="00387AC4">
        <w:t>202.</w:t>
      </w:r>
    </w:p>
    <w:p w14:paraId="18B2A4CF" w14:textId="602731E5" w:rsidR="003D79E9" w:rsidRPr="00387AC4" w:rsidRDefault="003D79E9" w:rsidP="00583318">
      <w:pPr>
        <w:pStyle w:val="References"/>
      </w:pPr>
      <w:proofErr w:type="spellStart"/>
      <w:r w:rsidRPr="00387AC4">
        <w:t>Wehmeyer</w:t>
      </w:r>
      <w:proofErr w:type="spellEnd"/>
      <w:r w:rsidRPr="00387AC4">
        <w:t>, M., Smith, S.</w:t>
      </w:r>
      <w:r w:rsidR="00583318">
        <w:t xml:space="preserve"> </w:t>
      </w:r>
      <w:r>
        <w:t xml:space="preserve">J., </w:t>
      </w:r>
      <w:proofErr w:type="gramStart"/>
      <w:r w:rsidR="00583318">
        <w:t xml:space="preserve">&amp; </w:t>
      </w:r>
      <w:r>
        <w:t xml:space="preserve"> Davies</w:t>
      </w:r>
      <w:proofErr w:type="gramEnd"/>
      <w:r>
        <w:t>, D</w:t>
      </w:r>
      <w:r w:rsidRPr="00387AC4">
        <w:t>. (200</w:t>
      </w:r>
      <w:r w:rsidR="00583318">
        <w:t>5</w:t>
      </w:r>
      <w:r w:rsidRPr="00387AC4">
        <w:t>). Technology use and students with</w:t>
      </w:r>
      <w:r>
        <w:t xml:space="preserve"> </w:t>
      </w:r>
      <w:r w:rsidRPr="00387AC4">
        <w:t xml:space="preserve">intellectual disability: </w:t>
      </w:r>
      <w:r>
        <w:t xml:space="preserve"> </w:t>
      </w:r>
      <w:r w:rsidRPr="00387AC4">
        <w:t xml:space="preserve">Universal design for all students. </w:t>
      </w:r>
      <w:r w:rsidR="00583318">
        <w:t xml:space="preserve">In D. </w:t>
      </w:r>
      <w:proofErr w:type="spellStart"/>
      <w:r w:rsidR="00583318">
        <w:t>Edyburn</w:t>
      </w:r>
      <w:proofErr w:type="spellEnd"/>
      <w:r w:rsidR="00583318">
        <w:t>, K. Higgins, &amp; R. Boone (Eds.), Handbook of Special Education Technology</w:t>
      </w:r>
      <w:r w:rsidR="00E536CD">
        <w:t xml:space="preserve"> Research and Practice (pp. 309–</w:t>
      </w:r>
      <w:r w:rsidR="00583318">
        <w:t xml:space="preserve">323). Whitefish Bay, WI: </w:t>
      </w:r>
      <w:proofErr w:type="spellStart"/>
      <w:r w:rsidR="00583318">
        <w:t>Knolwedge</w:t>
      </w:r>
      <w:proofErr w:type="spellEnd"/>
      <w:r w:rsidR="00583318">
        <w:t xml:space="preserve"> by Design</w:t>
      </w:r>
      <w:r w:rsidRPr="00387AC4">
        <w:t xml:space="preserve">. </w:t>
      </w:r>
    </w:p>
    <w:p w14:paraId="75F93D16" w14:textId="34381382" w:rsidR="001B3699" w:rsidRDefault="003D79E9" w:rsidP="00F92241">
      <w:pPr>
        <w:pStyle w:val="References"/>
      </w:pPr>
      <w:proofErr w:type="gramStart"/>
      <w:r>
        <w:t>Wise, B.</w:t>
      </w:r>
      <w:r w:rsidR="00583318">
        <w:t xml:space="preserve"> </w:t>
      </w:r>
      <w:r w:rsidRPr="00387AC4">
        <w:t>W., Ring, J.</w:t>
      </w:r>
      <w:r>
        <w:t xml:space="preserve"> &amp; Olson, R.</w:t>
      </w:r>
      <w:r w:rsidR="00583318">
        <w:t xml:space="preserve"> </w:t>
      </w:r>
      <w:r w:rsidRPr="00387AC4">
        <w:t>K. (1999).</w:t>
      </w:r>
      <w:proofErr w:type="gramEnd"/>
      <w:r w:rsidRPr="00387AC4">
        <w:t xml:space="preserve"> Training phonological awareness with and without explicit attention to articulation. </w:t>
      </w:r>
      <w:r w:rsidRPr="00A12590">
        <w:rPr>
          <w:i/>
        </w:rPr>
        <w:t>Journal of Experimental Child Psychology, 72</w:t>
      </w:r>
      <w:r w:rsidRPr="00387AC4">
        <w:t>, 271</w:t>
      </w:r>
      <w:r w:rsidR="00E536CD">
        <w:softHyphen/>
        <w:t>–</w:t>
      </w:r>
      <w:r w:rsidRPr="00387AC4">
        <w:t>304.</w:t>
      </w:r>
    </w:p>
    <w:sectPr w:rsidR="001B3699" w:rsidSect="00970CFD">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578D" w14:textId="77777777" w:rsidR="00CC5B2C" w:rsidRDefault="00CC5B2C" w:rsidP="00537A1A">
      <w:pPr>
        <w:spacing w:after="0"/>
      </w:pPr>
      <w:r>
        <w:separator/>
      </w:r>
    </w:p>
  </w:endnote>
  <w:endnote w:type="continuationSeparator" w:id="0">
    <w:p w14:paraId="0A19BAB8" w14:textId="77777777" w:rsidR="00CC5B2C" w:rsidRDefault="00CC5B2C"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9FC0" w14:textId="77777777" w:rsidR="00CC5B2C" w:rsidRDefault="00CC5B2C" w:rsidP="00537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55840" w14:textId="77777777" w:rsidR="00CC5B2C" w:rsidRDefault="00CC5B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133F" w14:textId="77777777" w:rsidR="00CC5B2C" w:rsidRDefault="00CC5B2C" w:rsidP="001F1980">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608AB266" w14:textId="77777777" w:rsidR="00CC5B2C" w:rsidRPr="001F1980" w:rsidRDefault="00CC5B2C" w:rsidP="00216DE8">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p w14:paraId="220BCB20" w14:textId="77777777" w:rsidR="00CC5B2C" w:rsidRDefault="00CC5B2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0FEB2" w14:textId="252217F7" w:rsidR="00CC5B2C" w:rsidRDefault="00CC5B2C" w:rsidP="001F1980">
    <w:pPr>
      <w:pStyle w:val="Footer"/>
    </w:pPr>
    <w:r>
      <w:t xml:space="preserve">The Promise of Accessible Textbooks: Increased Achievement for All Students  | </w:t>
    </w:r>
    <w:r>
      <w:rPr>
        <w:rStyle w:val="PageNumber"/>
      </w:rPr>
      <w:fldChar w:fldCharType="begin"/>
    </w:r>
    <w:r>
      <w:rPr>
        <w:rStyle w:val="PageNumber"/>
      </w:rPr>
      <w:instrText xml:space="preserve"> PAGE </w:instrText>
    </w:r>
    <w:r>
      <w:rPr>
        <w:rStyle w:val="PageNumber"/>
      </w:rPr>
      <w:fldChar w:fldCharType="separate"/>
    </w:r>
    <w:r w:rsidR="008D56DB">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44F4" w14:textId="77777777" w:rsidR="00CC5B2C" w:rsidRDefault="00CC5B2C" w:rsidP="00537A1A">
      <w:pPr>
        <w:spacing w:after="0"/>
      </w:pPr>
      <w:r>
        <w:separator/>
      </w:r>
    </w:p>
  </w:footnote>
  <w:footnote w:type="continuationSeparator" w:id="0">
    <w:p w14:paraId="132050F7" w14:textId="77777777" w:rsidR="00CC5B2C" w:rsidRDefault="00CC5B2C" w:rsidP="00537A1A">
      <w:pPr>
        <w:spacing w:after="0"/>
      </w:pPr>
      <w:r>
        <w:continuationSeparator/>
      </w:r>
    </w:p>
  </w:footnote>
  <w:footnote w:id="1">
    <w:p w14:paraId="1117E966" w14:textId="23AD6013" w:rsidR="00CC5B2C" w:rsidRPr="00C74639" w:rsidRDefault="00CC5B2C" w:rsidP="0082680F">
      <w:pPr>
        <w:pStyle w:val="FootnoteText"/>
      </w:pPr>
      <w:r w:rsidRPr="00F74D39">
        <w:rPr>
          <w:rStyle w:val="FootnoteReference"/>
          <w:rFonts w:asciiTheme="minorHAnsi" w:hAnsiTheme="minorHAnsi"/>
          <w:sz w:val="20"/>
        </w:rPr>
        <w:footnoteRef/>
      </w:r>
      <w:r w:rsidRPr="00F74D39">
        <w:t xml:space="preserve"> </w:t>
      </w:r>
      <w:hyperlink r:id="rId1" w:anchor="sec1" w:history="1">
        <w:r w:rsidRPr="0072315E">
          <w:rPr>
            <w:rStyle w:val="Hyperlink"/>
          </w:rPr>
          <w:t>The No Child Left Behind Act of 2001</w:t>
        </w:r>
      </w:hyperlink>
      <w:r w:rsidRPr="00F74D39">
        <w:t xml:space="preserve">, United States Department of Education, </w:t>
      </w:r>
      <w:proofErr w:type="gramStart"/>
      <w:r w:rsidRPr="00F74D39">
        <w:t>Washington</w:t>
      </w:r>
      <w:proofErr w:type="gramEnd"/>
      <w:r w:rsidRPr="00F74D39">
        <w:t>, DC, 2001</w:t>
      </w:r>
      <w:r>
        <w:t xml:space="preserve">. Retrieved from </w:t>
      </w:r>
      <w:r w:rsidRPr="0072315E">
        <w:rPr>
          <w:rFonts w:asciiTheme="minorHAnsi" w:hAnsiTheme="minorHAnsi"/>
        </w:rPr>
        <w:t>http://www.ed.gov/policy/elsec/leg/esea02/beginning.html#sec1</w:t>
      </w:r>
      <w:r>
        <w:rPr>
          <w:rFonts w:asciiTheme="minorHAnsi" w:hAnsiTheme="minorHAnsi"/>
        </w:rPr>
        <w:t xml:space="preserve"> </w:t>
      </w:r>
      <w:r w:rsidRPr="00F74D39">
        <w:t xml:space="preserve"> </w:t>
      </w:r>
    </w:p>
  </w:footnote>
  <w:footnote w:id="2">
    <w:p w14:paraId="080572FC" w14:textId="29E94894" w:rsidR="00CC5B2C" w:rsidRPr="00C74639" w:rsidRDefault="00CC5B2C" w:rsidP="0082680F">
      <w:pPr>
        <w:pStyle w:val="FootnoteText"/>
      </w:pPr>
      <w:r>
        <w:rPr>
          <w:rStyle w:val="FootnoteReference"/>
        </w:rPr>
        <w:footnoteRef/>
      </w:r>
      <w:r>
        <w:t xml:space="preserve"> </w:t>
      </w:r>
      <w:hyperlink r:id="rId2" w:history="1">
        <w:r w:rsidRPr="00CC5B2C">
          <w:rPr>
            <w:rStyle w:val="Hyperlink"/>
          </w:rPr>
          <w:t>The No Child Left Behind Act of 2001: Measuring Progress</w:t>
        </w:r>
      </w:hyperlink>
      <w:r>
        <w:t xml:space="preserve">, United States Department of Education, Washington, DC, 2001 retrieved from </w:t>
      </w:r>
      <w:r w:rsidRPr="0072315E">
        <w:t>http://www.ed.gov/nclb/accountability/ayp/yearly.html</w:t>
      </w:r>
      <w:r w:rsidRPr="00C74639">
        <w:t xml:space="preserve"> </w:t>
      </w:r>
    </w:p>
  </w:footnote>
  <w:footnote w:id="3">
    <w:p w14:paraId="5418DA0E" w14:textId="77777777" w:rsidR="00CC5B2C" w:rsidRPr="00C00E3C" w:rsidRDefault="00CC5B2C" w:rsidP="0082680F">
      <w:pPr>
        <w:pStyle w:val="FootnoteText"/>
      </w:pPr>
      <w:r w:rsidRPr="00C00E3C">
        <w:rPr>
          <w:rStyle w:val="FootnoteReference"/>
        </w:rPr>
        <w:footnoteRef/>
      </w:r>
      <w:r w:rsidRPr="00C00E3C">
        <w:t xml:space="preserve"> Federal Register: </w:t>
      </w:r>
      <w:r>
        <w:t xml:space="preserve"> </w:t>
      </w:r>
      <w:r w:rsidRPr="00C00E3C">
        <w:t>December 2, 2002 (Volume 67, Number 231</w:t>
      </w:r>
      <w:r>
        <w:t>)</w:t>
      </w:r>
    </w:p>
  </w:footnote>
  <w:footnote w:id="4">
    <w:p w14:paraId="587220E1" w14:textId="77777777" w:rsidR="00CC5B2C" w:rsidRPr="00C00E3C" w:rsidRDefault="00CC5B2C" w:rsidP="0082680F">
      <w:pPr>
        <w:pStyle w:val="FootnoteText"/>
      </w:pPr>
      <w:r w:rsidRPr="00C00E3C">
        <w:rPr>
          <w:rStyle w:val="FootnoteReference"/>
        </w:rPr>
        <w:footnoteRef/>
      </w:r>
      <w:r w:rsidRPr="00C00E3C">
        <w:t xml:space="preserve"> Federal Register: </w:t>
      </w:r>
      <w:r>
        <w:t xml:space="preserve"> </w:t>
      </w:r>
      <w:r w:rsidRPr="00C00E3C">
        <w:t>December 9, 2003 (Volume 68, Number 236</w:t>
      </w:r>
      <w:r>
        <w:t>)</w:t>
      </w:r>
    </w:p>
  </w:footnote>
  <w:footnote w:id="5">
    <w:p w14:paraId="2D6430C1" w14:textId="7EBD8B07" w:rsidR="00CC5B2C" w:rsidRPr="0063755F" w:rsidRDefault="00CC5B2C" w:rsidP="0082680F">
      <w:pPr>
        <w:pStyle w:val="FootnoteText"/>
      </w:pPr>
      <w:r w:rsidRPr="00C00E3C">
        <w:rPr>
          <w:rStyle w:val="FootnoteReference"/>
        </w:rPr>
        <w:footnoteRef/>
      </w:r>
      <w:r w:rsidRPr="00C00E3C">
        <w:t xml:space="preserve"> </w:t>
      </w:r>
      <w:hyperlink r:id="rId3" w:history="1">
        <w:r w:rsidRPr="00130A88">
          <w:rPr>
            <w:rStyle w:val="Hyperlink"/>
          </w:rPr>
          <w:t>Nation Library Service, “That All May Read,”</w:t>
        </w:r>
      </w:hyperlink>
      <w:r>
        <w:t xml:space="preserve"> retrieved from</w:t>
      </w:r>
      <w:r w:rsidRPr="00CB39BF">
        <w:t xml:space="preserve"> </w:t>
      </w:r>
      <w:r w:rsidRPr="00130A88">
        <w:t>http://www.loc.gov/nls/about_history.html</w:t>
      </w:r>
    </w:p>
  </w:footnote>
  <w:footnote w:id="6">
    <w:p w14:paraId="77AF2DDB" w14:textId="75E4A66A" w:rsidR="00CC5B2C" w:rsidRPr="00525802" w:rsidRDefault="00CC5B2C" w:rsidP="0082680F">
      <w:pPr>
        <w:pStyle w:val="FootnoteText"/>
      </w:pPr>
      <w:r w:rsidRPr="0063755F">
        <w:rPr>
          <w:rStyle w:val="FootnoteReference"/>
        </w:rPr>
        <w:footnoteRef/>
      </w:r>
      <w:r w:rsidRPr="0063755F">
        <w:t xml:space="preserve"> </w:t>
      </w:r>
      <w:hyperlink r:id="rId4" w:history="1">
        <w:r w:rsidRPr="00130A88">
          <w:rPr>
            <w:rStyle w:val="Hyperlink"/>
          </w:rPr>
          <w:t>National Library Service, “History”</w:t>
        </w:r>
      </w:hyperlink>
      <w:r w:rsidRPr="0063755F">
        <w:t>,</w:t>
      </w:r>
      <w:r>
        <w:t xml:space="preserve"> (Direct link:</w:t>
      </w:r>
      <w:r w:rsidRPr="0063755F">
        <w:t xml:space="preserve"> </w:t>
      </w:r>
      <w:r w:rsidRPr="00130A88">
        <w:t>http://www.loc.gov/nls/about_history.html</w:t>
      </w:r>
      <w:r>
        <w:t xml:space="preserve">) </w:t>
      </w:r>
    </w:p>
  </w:footnote>
  <w:footnote w:id="7">
    <w:p w14:paraId="28926169" w14:textId="3860E4BD" w:rsidR="00CC5B2C" w:rsidRPr="00D629F6" w:rsidRDefault="00CC5B2C" w:rsidP="00C62899">
      <w:pPr>
        <w:pStyle w:val="FootnoteText"/>
      </w:pPr>
      <w:r w:rsidRPr="00C62899">
        <w:rPr>
          <w:vertAlign w:val="superscript"/>
        </w:rPr>
        <w:footnoteRef/>
      </w:r>
      <w:r w:rsidRPr="00C62899">
        <w:rPr>
          <w:vertAlign w:val="superscript"/>
        </w:rPr>
        <w:t xml:space="preserve"> </w:t>
      </w:r>
      <w:hyperlink r:id="rId5" w:history="1">
        <w:r w:rsidRPr="00130A88">
          <w:rPr>
            <w:rStyle w:val="Hyperlink"/>
          </w:rPr>
          <w:t>Public Law 104-197; Chapter 1 of Title 17, United States Code, SEC.121</w:t>
        </w:r>
      </w:hyperlink>
      <w:r w:rsidRPr="008B5256">
        <w:t xml:space="preserve">. </w:t>
      </w:r>
      <w:proofErr w:type="gramStart"/>
      <w:r w:rsidRPr="008B5256">
        <w:t>Library of Congress</w:t>
      </w:r>
      <w:r>
        <w:t>.</w:t>
      </w:r>
      <w:proofErr w:type="gramEnd"/>
      <w:r>
        <w:t xml:space="preserve"> Retrieved from: </w:t>
      </w:r>
      <w:r w:rsidRPr="00130A88">
        <w:t>http://www.loc.gov/nls/reference/factsheets/copyright.html</w:t>
      </w:r>
    </w:p>
  </w:footnote>
  <w:footnote w:id="8">
    <w:p w14:paraId="12AFD336" w14:textId="77777777" w:rsidR="00CC5B2C" w:rsidRPr="007B67CF" w:rsidRDefault="00CC5B2C" w:rsidP="00C62899">
      <w:pPr>
        <w:pStyle w:val="FootnoteText"/>
      </w:pPr>
      <w:r w:rsidRPr="007B67CF">
        <w:rPr>
          <w:rStyle w:val="FootnoteReference"/>
          <w:rFonts w:asciiTheme="minorHAnsi" w:hAnsiTheme="minorHAnsi"/>
          <w:sz w:val="20"/>
        </w:rPr>
        <w:footnoteRef/>
      </w:r>
      <w:r w:rsidRPr="007B67CF">
        <w:t xml:space="preserve">  </w:t>
      </w:r>
      <w:proofErr w:type="gramStart"/>
      <w:r w:rsidRPr="007B67CF">
        <w:t>17 USC Sec. 107, Title 17, Chapter 1 – Subject Matter and Scope of Copyright, Sec. 107.</w:t>
      </w:r>
      <w:proofErr w:type="gramEnd"/>
      <w:r w:rsidRPr="007B67CF">
        <w:t xml:space="preserve"> Limitations on exclusive rights:  </w:t>
      </w:r>
      <w:r w:rsidRPr="007B67CF">
        <w:rPr>
          <w:bCs/>
          <w:iCs/>
        </w:rPr>
        <w:t>Fair</w:t>
      </w:r>
      <w:r w:rsidRPr="007B67CF">
        <w:t xml:space="preserve"> </w:t>
      </w:r>
      <w:r w:rsidRPr="007B67CF">
        <w:rPr>
          <w:bCs/>
          <w:iCs/>
        </w:rPr>
        <w:t>use (2002)</w:t>
      </w:r>
    </w:p>
  </w:footnote>
  <w:footnote w:id="9">
    <w:p w14:paraId="7E467ED4" w14:textId="16DBCF00" w:rsidR="00CC5B2C" w:rsidRPr="00C62899" w:rsidRDefault="00CC5B2C" w:rsidP="00C62899">
      <w:pPr>
        <w:pStyle w:val="FootnoteText"/>
      </w:pPr>
      <w:r w:rsidRPr="00C62899">
        <w:rPr>
          <w:vertAlign w:val="superscript"/>
        </w:rPr>
        <w:footnoteRef/>
      </w:r>
      <w:r w:rsidRPr="00C62899">
        <w:rPr>
          <w:vertAlign w:val="superscript"/>
        </w:rPr>
        <w:t xml:space="preserve"> </w:t>
      </w:r>
      <w:hyperlink r:id="rId6" w:history="1">
        <w:r w:rsidRPr="00130A88">
          <w:rPr>
            <w:rStyle w:val="Hyperlink"/>
          </w:rPr>
          <w:t>OCR Letter:  Los Rios Community College District</w:t>
        </w:r>
      </w:hyperlink>
      <w:r w:rsidRPr="00C62899">
        <w:t xml:space="preserve">, Office for Civil Rights (OCR), U.S. Department of Education, September, 1993. </w:t>
      </w:r>
      <w:proofErr w:type="gramStart"/>
      <w:r w:rsidRPr="00C62899">
        <w:t>Case No. 09932214.</w:t>
      </w:r>
      <w:proofErr w:type="gramEnd"/>
      <w:r w:rsidRPr="00C62899">
        <w:t xml:space="preserve"> Retrieved August 1, 2015 from </w:t>
      </w:r>
      <w:r w:rsidRPr="00130A88">
        <w:t>http://www.southwestada.org/html/topical/FAPSI/OCR/losrios.html</w:t>
      </w:r>
    </w:p>
  </w:footnote>
  <w:footnote w:id="10">
    <w:p w14:paraId="717C7E67" w14:textId="1B486B14" w:rsidR="00CC5B2C" w:rsidRPr="00A839ED" w:rsidRDefault="00CC5B2C" w:rsidP="003D79E9">
      <w:pPr>
        <w:pStyle w:val="FootnoteText"/>
      </w:pPr>
      <w:r>
        <w:rPr>
          <w:rStyle w:val="FootnoteReference"/>
        </w:rPr>
        <w:footnoteRef/>
      </w:r>
      <w:r>
        <w:t xml:space="preserve"> </w:t>
      </w:r>
      <w:proofErr w:type="gramStart"/>
      <w:r w:rsidR="00396E94" w:rsidRPr="00396E94">
        <w:t xml:space="preserve">Wagner, M., Newman, L., and </w:t>
      </w:r>
      <w:proofErr w:type="spellStart"/>
      <w:r w:rsidR="00396E94" w:rsidRPr="00396E94">
        <w:t>Cameto</w:t>
      </w:r>
      <w:proofErr w:type="spellEnd"/>
      <w:r w:rsidR="00396E94" w:rsidRPr="00396E94">
        <w:t>, R. (2004).</w:t>
      </w:r>
      <w:proofErr w:type="gramEnd"/>
      <w:r w:rsidR="00396E94" w:rsidRPr="00396E94">
        <w:t> </w:t>
      </w:r>
      <w:r w:rsidR="00396E94" w:rsidRPr="00396E94">
        <w:rPr>
          <w:i/>
          <w:iCs/>
        </w:rPr>
        <w:t>Changes Over Time in the Secondary School Experiences of Students with Disabilities. A Report of Findings from the National Longitudinal Transition Study (NLTS) and the National Longitudinal Transition Study-2 (NLTS2)</w:t>
      </w:r>
      <w:r w:rsidR="00396E94" w:rsidRPr="00396E94">
        <w:t xml:space="preserve"> Menlo Park, CA: SRI International. </w:t>
      </w:r>
      <w:proofErr w:type="gramStart"/>
      <w:r w:rsidR="00396E94" w:rsidRPr="00396E94">
        <w:t>Available at www.nlts2.org/reports/2004_04/nlts2_report_2004_04_complete.pdf.</w:t>
      </w:r>
      <w:proofErr w:type="gramEnd"/>
    </w:p>
  </w:footnote>
  <w:footnote w:id="11">
    <w:p w14:paraId="500A2B21" w14:textId="77777777" w:rsidR="00CC5B2C" w:rsidRDefault="00CC5B2C" w:rsidP="003D79E9">
      <w:pPr>
        <w:pStyle w:val="FootnoteText"/>
      </w:pPr>
      <w:r>
        <w:rPr>
          <w:rStyle w:val="FootnoteReference"/>
        </w:rPr>
        <w:footnoteRef/>
      </w:r>
      <w:r>
        <w:t xml:space="preserve"> Ibid</w:t>
      </w:r>
    </w:p>
  </w:footnote>
  <w:footnote w:id="12">
    <w:p w14:paraId="3125789E" w14:textId="4CD91B46" w:rsidR="00CC5B2C" w:rsidRPr="00A839ED" w:rsidRDefault="00CC5B2C" w:rsidP="003D79E9">
      <w:pPr>
        <w:pStyle w:val="FootnoteText"/>
      </w:pPr>
      <w:r>
        <w:rPr>
          <w:rStyle w:val="FootnoteReference"/>
        </w:rPr>
        <w:footnoteRef/>
      </w:r>
      <w:r>
        <w:t xml:space="preserve"> </w:t>
      </w:r>
      <w:r w:rsidRPr="00A839ED">
        <w:rPr>
          <w:lang w:val="en"/>
        </w:rPr>
        <w:t>Holt, J</w:t>
      </w:r>
      <w:r>
        <w:rPr>
          <w:lang w:val="en"/>
        </w:rPr>
        <w:t>.</w:t>
      </w:r>
      <w:r w:rsidRPr="00A839ED">
        <w:rPr>
          <w:lang w:val="en"/>
        </w:rPr>
        <w:t xml:space="preserve"> A., Traxler, C</w:t>
      </w:r>
      <w:r>
        <w:rPr>
          <w:lang w:val="en"/>
        </w:rPr>
        <w:t>.</w:t>
      </w:r>
      <w:r w:rsidRPr="00A839ED">
        <w:rPr>
          <w:lang w:val="en"/>
        </w:rPr>
        <w:t xml:space="preserve"> B., </w:t>
      </w:r>
      <w:r>
        <w:rPr>
          <w:lang w:val="en"/>
        </w:rPr>
        <w:t>&amp;</w:t>
      </w:r>
      <w:r w:rsidRPr="00A839ED">
        <w:rPr>
          <w:lang w:val="en"/>
        </w:rPr>
        <w:t xml:space="preserve"> Allen, T</w:t>
      </w:r>
      <w:r>
        <w:rPr>
          <w:lang w:val="en"/>
        </w:rPr>
        <w:t>.</w:t>
      </w:r>
      <w:r w:rsidRPr="00A839ED">
        <w:rPr>
          <w:lang w:val="en"/>
        </w:rPr>
        <w:t xml:space="preserve"> E. </w:t>
      </w:r>
      <w:r>
        <w:rPr>
          <w:lang w:val="en"/>
        </w:rPr>
        <w:t xml:space="preserve"> (</w:t>
      </w:r>
      <w:r w:rsidRPr="00A839ED">
        <w:rPr>
          <w:lang w:val="en"/>
        </w:rPr>
        <w:t>1997</w:t>
      </w:r>
      <w:r>
        <w:rPr>
          <w:lang w:val="en"/>
        </w:rPr>
        <w:t>)</w:t>
      </w:r>
      <w:r w:rsidRPr="00A839ED">
        <w:rPr>
          <w:lang w:val="en"/>
        </w:rPr>
        <w:t xml:space="preserve">. </w:t>
      </w:r>
      <w:r w:rsidRPr="0070324A">
        <w:rPr>
          <w:i/>
          <w:lang w:val="en"/>
        </w:rPr>
        <w:t>Interpreting the Scores:  A User’s Guide to the 9th Edition Stanford Achievement Test for Educators of Deaf and Hard-of-Hearing Students</w:t>
      </w:r>
      <w:r w:rsidRPr="00A839ED">
        <w:rPr>
          <w:lang w:val="en"/>
        </w:rPr>
        <w:t xml:space="preserve"> </w:t>
      </w:r>
      <w:r>
        <w:rPr>
          <w:lang w:val="en"/>
        </w:rPr>
        <w:t>Gallaudet Research Institute Technical Report 97-1)</w:t>
      </w:r>
      <w:r w:rsidRPr="00A839ED">
        <w:rPr>
          <w:lang w:val="en"/>
        </w:rPr>
        <w:t xml:space="preserve">. Washington, DC: </w:t>
      </w:r>
      <w:r>
        <w:rPr>
          <w:lang w:val="en"/>
        </w:rPr>
        <w:t xml:space="preserve"> </w:t>
      </w:r>
      <w:r w:rsidRPr="00A839ED">
        <w:rPr>
          <w:lang w:val="en"/>
        </w:rPr>
        <w:t>Gallaudet University.</w:t>
      </w:r>
      <w:r w:rsidRPr="00A839ED">
        <w:rPr>
          <w:color w:val="0000EF"/>
          <w:lang w:val="en"/>
        </w:rPr>
        <w:t xml:space="preserve"> </w:t>
      </w:r>
      <w:r w:rsidRPr="00B459D6">
        <w:rPr>
          <w:color w:val="000000" w:themeColor="text1"/>
          <w:lang w:val="en"/>
        </w:rPr>
        <w:t>Retrieved from</w:t>
      </w:r>
      <w:r>
        <w:rPr>
          <w:color w:val="0000EF"/>
          <w:lang w:val="en"/>
        </w:rPr>
        <w:t xml:space="preserve"> </w:t>
      </w:r>
      <w:r w:rsidRPr="00337C56">
        <w:rPr>
          <w:lang w:val="en"/>
        </w:rPr>
        <w:t>http://gri.gallaudet.edu/Literacy/ - reading</w:t>
      </w:r>
      <w:r w:rsidRPr="00A839ED">
        <w:rPr>
          <w:color w:val="0000EF"/>
          <w:lang w:val="en"/>
        </w:rPr>
        <w:t xml:space="preserve"> </w:t>
      </w:r>
      <w:r w:rsidRPr="00A839ED">
        <w:t xml:space="preserve"> </w:t>
      </w:r>
    </w:p>
  </w:footnote>
  <w:footnote w:id="13">
    <w:p w14:paraId="059100E5" w14:textId="2C40FA90" w:rsidR="00CC5B2C" w:rsidRDefault="00CC5B2C" w:rsidP="003D79E9">
      <w:pPr>
        <w:pStyle w:val="FootnoteText"/>
      </w:pPr>
      <w:r>
        <w:rPr>
          <w:rStyle w:val="FootnoteReference"/>
        </w:rPr>
        <w:footnoteRef/>
      </w:r>
      <w:r>
        <w:t xml:space="preserve"> </w:t>
      </w:r>
      <w:proofErr w:type="spellStart"/>
      <w:r w:rsidRPr="007C1DAC">
        <w:t>Hickson</w:t>
      </w:r>
      <w:proofErr w:type="spellEnd"/>
      <w:r w:rsidRPr="007C1DAC">
        <w:t>, L., Blackman, L.</w:t>
      </w:r>
      <w:r>
        <w:t xml:space="preserve"> </w:t>
      </w:r>
      <w:r w:rsidRPr="007C1DAC">
        <w:t>S. &amp; Reis, E.</w:t>
      </w:r>
      <w:r>
        <w:t xml:space="preserve"> </w:t>
      </w:r>
      <w:r w:rsidRPr="007C1DAC">
        <w:t xml:space="preserve">M. (1995). </w:t>
      </w:r>
      <w:r w:rsidRPr="00A839ED">
        <w:rPr>
          <w:i/>
        </w:rPr>
        <w:t>Mental retardation:  Foundations of educational programming</w:t>
      </w:r>
      <w:r w:rsidRPr="007C1DAC">
        <w:t>. Boston</w:t>
      </w:r>
      <w:r>
        <w:t>, MA</w:t>
      </w:r>
      <w:r w:rsidRPr="007C1DAC">
        <w:t xml:space="preserve">: </w:t>
      </w:r>
      <w:r>
        <w:t xml:space="preserve"> </w:t>
      </w:r>
      <w:proofErr w:type="spellStart"/>
      <w:r w:rsidRPr="007C1DAC">
        <w:t>Allyn</w:t>
      </w:r>
      <w:proofErr w:type="spellEnd"/>
      <w:r w:rsidRPr="007C1DAC">
        <w:t xml:space="preserve"> &amp; Bac</w:t>
      </w:r>
      <w:r>
        <w:t>on.</w:t>
      </w:r>
    </w:p>
  </w:footnote>
  <w:footnote w:id="14">
    <w:p w14:paraId="26DC0D36" w14:textId="2957E6E0" w:rsidR="00CC5B2C" w:rsidRDefault="00CC5B2C" w:rsidP="003D79E9">
      <w:pPr>
        <w:pStyle w:val="FootnoteText"/>
      </w:pPr>
      <w:r>
        <w:rPr>
          <w:rStyle w:val="FootnoteReference"/>
        </w:rPr>
        <w:footnoteRef/>
      </w:r>
      <w:r>
        <w:t xml:space="preserve"> </w:t>
      </w:r>
      <w:proofErr w:type="spellStart"/>
      <w:proofErr w:type="gramStart"/>
      <w:r>
        <w:t>Beirne</w:t>
      </w:r>
      <w:proofErr w:type="spellEnd"/>
      <w:r>
        <w:t xml:space="preserve">-Smith, M., </w:t>
      </w:r>
      <w:proofErr w:type="spellStart"/>
      <w:r>
        <w:t>Ittenbach</w:t>
      </w:r>
      <w:proofErr w:type="spellEnd"/>
      <w:r>
        <w:t>, R. &amp; Patton, J. R. (1998).</w:t>
      </w:r>
      <w:proofErr w:type="gramEnd"/>
      <w:r>
        <w:t xml:space="preserve"> </w:t>
      </w:r>
      <w:proofErr w:type="gramStart"/>
      <w:r w:rsidRPr="00A839ED">
        <w:rPr>
          <w:i/>
        </w:rPr>
        <w:t xml:space="preserve">Mental </w:t>
      </w:r>
      <w:r w:rsidRPr="0034273A">
        <w:rPr>
          <w:i/>
        </w:rPr>
        <w:t>retardation (5th ed.).</w:t>
      </w:r>
      <w:proofErr w:type="gramEnd"/>
      <w:r>
        <w:t xml:space="preserve"> Upper Saddle River, NJ:  Prentice Hall.</w:t>
      </w:r>
    </w:p>
  </w:footnote>
  <w:footnote w:id="15">
    <w:p w14:paraId="62F3970C" w14:textId="012FA07B" w:rsidR="00CC5B2C" w:rsidRPr="00C04484" w:rsidRDefault="00CC5B2C" w:rsidP="003D79E9">
      <w:pPr>
        <w:pStyle w:val="FootnoteText"/>
        <w:rPr>
          <w:rFonts w:asciiTheme="minorHAnsi" w:hAnsiTheme="minorHAnsi"/>
        </w:rPr>
      </w:pPr>
      <w:r w:rsidRPr="00C04484">
        <w:rPr>
          <w:rStyle w:val="FootnoteReference"/>
          <w:rFonts w:asciiTheme="minorHAnsi" w:hAnsiTheme="minorHAnsi"/>
          <w:sz w:val="20"/>
        </w:rPr>
        <w:footnoteRef/>
      </w:r>
      <w:r w:rsidRPr="00C04484">
        <w:rPr>
          <w:rFonts w:asciiTheme="minorHAnsi" w:hAnsiTheme="minorHAnsi"/>
        </w:rPr>
        <w:t xml:space="preserve"> </w:t>
      </w:r>
      <w:proofErr w:type="spellStart"/>
      <w:r w:rsidRPr="00C04484">
        <w:rPr>
          <w:rFonts w:asciiTheme="minorHAnsi" w:hAnsiTheme="minorHAnsi"/>
        </w:rPr>
        <w:t>Roblin</w:t>
      </w:r>
      <w:proofErr w:type="spellEnd"/>
      <w:r w:rsidRPr="00C04484">
        <w:rPr>
          <w:rFonts w:asciiTheme="minorHAnsi" w:hAnsiTheme="minorHAnsi"/>
        </w:rPr>
        <w:t>, J. (</w:t>
      </w:r>
      <w:r>
        <w:rPr>
          <w:rFonts w:asciiTheme="minorHAnsi" w:hAnsiTheme="minorHAnsi"/>
        </w:rPr>
        <w:t>1955</w:t>
      </w:r>
      <w:r w:rsidRPr="00C04484">
        <w:rPr>
          <w:rFonts w:asciiTheme="minorHAnsi" w:hAnsiTheme="minorHAnsi"/>
        </w:rPr>
        <w:t xml:space="preserve">) </w:t>
      </w:r>
      <w:r w:rsidRPr="00C04484">
        <w:rPr>
          <w:rStyle w:val="Emphasis"/>
          <w:rFonts w:asciiTheme="minorHAnsi" w:hAnsiTheme="minorHAnsi"/>
        </w:rPr>
        <w:t>The Reading Fingers:  The Life of Louis Braille</w:t>
      </w:r>
      <w:r w:rsidRPr="00C04484">
        <w:rPr>
          <w:rFonts w:asciiTheme="minorHAnsi" w:hAnsiTheme="minorHAnsi"/>
        </w:rPr>
        <w:t>. Trans</w:t>
      </w:r>
      <w:r>
        <w:rPr>
          <w:rFonts w:asciiTheme="minorHAnsi" w:hAnsiTheme="minorHAnsi"/>
        </w:rPr>
        <w:t>. R.</w:t>
      </w:r>
      <w:r w:rsidRPr="00C04484">
        <w:rPr>
          <w:rFonts w:asciiTheme="minorHAnsi" w:hAnsiTheme="minorHAnsi"/>
        </w:rPr>
        <w:t xml:space="preserve"> G. </w:t>
      </w:r>
      <w:proofErr w:type="spellStart"/>
      <w:r w:rsidRPr="00C04484">
        <w:rPr>
          <w:rFonts w:asciiTheme="minorHAnsi" w:hAnsiTheme="minorHAnsi"/>
        </w:rPr>
        <w:t>Mandalian</w:t>
      </w:r>
      <w:proofErr w:type="spellEnd"/>
      <w:r w:rsidRPr="00C04484">
        <w:rPr>
          <w:rFonts w:asciiTheme="minorHAnsi" w:hAnsiTheme="minorHAnsi"/>
        </w:rPr>
        <w:t>. New York:  American Foundation for the Blind. (Reprinted, 1993)</w:t>
      </w:r>
    </w:p>
  </w:footnote>
  <w:footnote w:id="16">
    <w:p w14:paraId="35F69DAC" w14:textId="79FB0527" w:rsidR="00CC5B2C" w:rsidRPr="00C04484" w:rsidRDefault="00CC5B2C" w:rsidP="0082680F">
      <w:pPr>
        <w:pStyle w:val="FootnoteText"/>
        <w:rPr>
          <w:b/>
          <w:iCs/>
        </w:rPr>
      </w:pPr>
      <w:r w:rsidRPr="00C04484">
        <w:rPr>
          <w:rStyle w:val="FootnoteReference"/>
          <w:rFonts w:asciiTheme="minorHAnsi" w:hAnsiTheme="minorHAnsi"/>
          <w:b/>
          <w:sz w:val="20"/>
        </w:rPr>
        <w:footnoteRef/>
      </w:r>
      <w:r w:rsidRPr="00C04484">
        <w:rPr>
          <w:b/>
        </w:rPr>
        <w:t xml:space="preserve"> </w:t>
      </w:r>
      <w:proofErr w:type="gramStart"/>
      <w:r w:rsidRPr="00436A8F">
        <w:t>Perl, E. (2002).</w:t>
      </w:r>
      <w:proofErr w:type="gramEnd"/>
      <w:r w:rsidRPr="00436A8F">
        <w:t xml:space="preserve"> </w:t>
      </w:r>
      <w:proofErr w:type="gramStart"/>
      <w:r w:rsidRPr="00436A8F">
        <w:t>Federal and State Legislation Regarding Accessible Instructional Materials.</w:t>
      </w:r>
      <w:proofErr w:type="gramEnd"/>
      <w:r w:rsidRPr="00436A8F">
        <w:t xml:space="preserve"> National Center on Accessing the General Curriculum. Wakefield, MA</w:t>
      </w:r>
      <w:r>
        <w:t>: National Center on Accessing the General Curriculum</w:t>
      </w:r>
      <w:r w:rsidRPr="00436A8F">
        <w:t xml:space="preserve">. </w:t>
      </w:r>
    </w:p>
  </w:footnote>
  <w:footnote w:id="17">
    <w:p w14:paraId="510BA20E" w14:textId="0D6FF9DB" w:rsidR="00CC5B2C" w:rsidRPr="00003A5E" w:rsidRDefault="00CC5B2C" w:rsidP="0082680F">
      <w:pPr>
        <w:pStyle w:val="FootnoteText"/>
      </w:pPr>
      <w:r w:rsidRPr="00C04484">
        <w:rPr>
          <w:rStyle w:val="FootnoteReference"/>
          <w:rFonts w:asciiTheme="minorHAnsi" w:hAnsiTheme="minorHAnsi"/>
          <w:sz w:val="20"/>
        </w:rPr>
        <w:footnoteRef/>
      </w:r>
      <w:r w:rsidRPr="00C04484">
        <w:t xml:space="preserve"> </w:t>
      </w:r>
      <w:proofErr w:type="spellStart"/>
      <w:r w:rsidRPr="00C04484">
        <w:t>Ravitch</w:t>
      </w:r>
      <w:proofErr w:type="spellEnd"/>
      <w:r w:rsidRPr="00C04484">
        <w:t xml:space="preserve">, D. (2000). The reauthorization of the federal Elementary and Secondary Education Act:  An Introduction, </w:t>
      </w:r>
      <w:r w:rsidRPr="00C04484">
        <w:rPr>
          <w:i/>
        </w:rPr>
        <w:t>Brooking Papers on Educational Policy</w:t>
      </w:r>
      <w:r w:rsidRPr="00C04484">
        <w:t xml:space="preserve">. </w:t>
      </w:r>
      <w:r>
        <w:t xml:space="preserve">Washington, DC: </w:t>
      </w:r>
      <w:r w:rsidRPr="00C04484">
        <w:t>Brookings Institut</w:t>
      </w:r>
      <w:r>
        <w:t>ion.</w:t>
      </w:r>
    </w:p>
  </w:footnote>
  <w:footnote w:id="18">
    <w:p w14:paraId="4654D35E" w14:textId="0E740BD7" w:rsidR="00CC5B2C" w:rsidRPr="00C04484" w:rsidRDefault="00CC5B2C" w:rsidP="0082680F">
      <w:pPr>
        <w:pStyle w:val="FootnoteText"/>
      </w:pPr>
      <w:r w:rsidRPr="00C04484">
        <w:rPr>
          <w:rStyle w:val="FootnoteReference"/>
          <w:rFonts w:asciiTheme="minorHAnsi" w:hAnsiTheme="minorHAnsi"/>
          <w:sz w:val="20"/>
        </w:rPr>
        <w:footnoteRef/>
      </w:r>
      <w:r w:rsidRPr="00C04484">
        <w:t xml:space="preserve"> </w:t>
      </w:r>
      <w:proofErr w:type="gramStart"/>
      <w:r w:rsidRPr="00C04484">
        <w:t>National File Format Technical Panel</w:t>
      </w:r>
      <w:r>
        <w:t>.</w:t>
      </w:r>
      <w:proofErr w:type="gramEnd"/>
      <w:r>
        <w:t xml:space="preserve"> </w:t>
      </w:r>
      <w:proofErr w:type="gramStart"/>
      <w:r>
        <w:t>(2004, July).</w:t>
      </w:r>
      <w:proofErr w:type="gramEnd"/>
      <w:r w:rsidRPr="00C04484">
        <w:t xml:space="preserve"> </w:t>
      </w:r>
      <w:proofErr w:type="gramStart"/>
      <w:r w:rsidRPr="00C04484">
        <w:t>National Instructional Materials Accessibility Standard Report—Version 1.0</w:t>
      </w:r>
      <w:r>
        <w:t>.</w:t>
      </w:r>
      <w:proofErr w:type="gramEnd"/>
      <w:r>
        <w:t xml:space="preserve"> </w:t>
      </w:r>
      <w:r w:rsidRPr="00C04484">
        <w:t xml:space="preserve"> </w:t>
      </w:r>
      <w:r>
        <w:t xml:space="preserve">Wakefield, MA: </w:t>
      </w:r>
      <w:r w:rsidRPr="00C04484">
        <w:t>National Center on Accessing the General Curriculum</w:t>
      </w:r>
      <w:r>
        <w:t>.</w:t>
      </w:r>
      <w:r w:rsidRPr="00C04484">
        <w:t xml:space="preserve"> </w:t>
      </w:r>
    </w:p>
  </w:footnote>
  <w:footnote w:id="19">
    <w:p w14:paraId="3F3DA6A6" w14:textId="77777777" w:rsidR="00CC5B2C" w:rsidRDefault="00CC5B2C" w:rsidP="0082680F">
      <w:pPr>
        <w:pStyle w:val="FootnoteText"/>
      </w:pPr>
      <w:r w:rsidRPr="00C04484">
        <w:rPr>
          <w:rStyle w:val="FootnoteReference"/>
          <w:rFonts w:asciiTheme="minorHAnsi" w:hAnsiTheme="minorHAnsi"/>
          <w:sz w:val="20"/>
        </w:rPr>
        <w:footnoteRef/>
      </w:r>
      <w:r w:rsidRPr="00C04484">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BE93" w14:textId="7589EB89" w:rsidR="00CC5B2C" w:rsidRDefault="00CC5B2C">
    <w:pPr>
      <w:pStyle w:val="Header"/>
    </w:pPr>
    <w:r>
      <w:rPr>
        <w:noProof/>
      </w:rPr>
      <w:drawing>
        <wp:inline distT="0" distB="0" distL="0" distR="0" wp14:anchorId="28C69939" wp14:editId="3443A747">
          <wp:extent cx="5102543" cy="419100"/>
          <wp:effectExtent l="0" t="0" r="3175" b="0"/>
          <wp:docPr id="4" name="Picture 4"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aem-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2543" cy="4191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BA13" w14:textId="77777777" w:rsidR="00CC5B2C" w:rsidRPr="00E96CEA" w:rsidRDefault="00CC5B2C" w:rsidP="00537A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4547F"/>
    <w:multiLevelType w:val="multilevel"/>
    <w:tmpl w:val="50DECC5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3D540B"/>
    <w:multiLevelType w:val="hybridMultilevel"/>
    <w:tmpl w:val="EF10F8EC"/>
    <w:lvl w:ilvl="0" w:tplc="3C6EC2E4">
      <w:numFmt w:val="bullet"/>
      <w:pStyle w:val="IndentedBullet"/>
      <w:lvlText w:val=""/>
      <w:lvlJc w:val="left"/>
      <w:pPr>
        <w:tabs>
          <w:tab w:val="num" w:pos="792"/>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58F6877"/>
    <w:multiLevelType w:val="hybridMultilevel"/>
    <w:tmpl w:val="B7C6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D2B3B"/>
    <w:multiLevelType w:val="hybridMultilevel"/>
    <w:tmpl w:val="50DECC54"/>
    <w:lvl w:ilvl="0" w:tplc="1E04EA4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9353B7"/>
    <w:multiLevelType w:val="hybridMultilevel"/>
    <w:tmpl w:val="93DCF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F2E02"/>
    <w:multiLevelType w:val="hybridMultilevel"/>
    <w:tmpl w:val="5F98C728"/>
    <w:lvl w:ilvl="0" w:tplc="6E60C9CC">
      <w:start w:val="2"/>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21376"/>
    <w:rsid w:val="00023CB8"/>
    <w:rsid w:val="00055326"/>
    <w:rsid w:val="000724B1"/>
    <w:rsid w:val="0007452F"/>
    <w:rsid w:val="000977C5"/>
    <w:rsid w:val="000B0F61"/>
    <w:rsid w:val="000B1969"/>
    <w:rsid w:val="000B5839"/>
    <w:rsid w:val="000C4008"/>
    <w:rsid w:val="000C4CBA"/>
    <w:rsid w:val="00130A88"/>
    <w:rsid w:val="00130DBE"/>
    <w:rsid w:val="00144310"/>
    <w:rsid w:val="001579B2"/>
    <w:rsid w:val="00190405"/>
    <w:rsid w:val="001B3699"/>
    <w:rsid w:val="001C0DEF"/>
    <w:rsid w:val="001F1980"/>
    <w:rsid w:val="001F6F13"/>
    <w:rsid w:val="00216DE8"/>
    <w:rsid w:val="00234C3F"/>
    <w:rsid w:val="0023604C"/>
    <w:rsid w:val="002C639B"/>
    <w:rsid w:val="002C7BAF"/>
    <w:rsid w:val="002D04FF"/>
    <w:rsid w:val="002E1FBB"/>
    <w:rsid w:val="002F38A0"/>
    <w:rsid w:val="0033199D"/>
    <w:rsid w:val="00337C56"/>
    <w:rsid w:val="003649F4"/>
    <w:rsid w:val="00373833"/>
    <w:rsid w:val="00380019"/>
    <w:rsid w:val="00382701"/>
    <w:rsid w:val="00384FC4"/>
    <w:rsid w:val="00396E94"/>
    <w:rsid w:val="003D79E9"/>
    <w:rsid w:val="003F7AF2"/>
    <w:rsid w:val="00416D3A"/>
    <w:rsid w:val="004229A8"/>
    <w:rsid w:val="00423C45"/>
    <w:rsid w:val="00436059"/>
    <w:rsid w:val="00436A8F"/>
    <w:rsid w:val="00444304"/>
    <w:rsid w:val="0046716B"/>
    <w:rsid w:val="004B48C2"/>
    <w:rsid w:val="004C00D6"/>
    <w:rsid w:val="004E64C7"/>
    <w:rsid w:val="005363C6"/>
    <w:rsid w:val="00537A1A"/>
    <w:rsid w:val="00542C20"/>
    <w:rsid w:val="00583318"/>
    <w:rsid w:val="005A2E75"/>
    <w:rsid w:val="005D6F38"/>
    <w:rsid w:val="005E41BF"/>
    <w:rsid w:val="006223EE"/>
    <w:rsid w:val="00627D11"/>
    <w:rsid w:val="00647B47"/>
    <w:rsid w:val="006E444A"/>
    <w:rsid w:val="0070324A"/>
    <w:rsid w:val="007212A3"/>
    <w:rsid w:val="0072315E"/>
    <w:rsid w:val="00742DFC"/>
    <w:rsid w:val="00777B2E"/>
    <w:rsid w:val="007A287F"/>
    <w:rsid w:val="007B67CF"/>
    <w:rsid w:val="0082680F"/>
    <w:rsid w:val="00874B30"/>
    <w:rsid w:val="008B5256"/>
    <w:rsid w:val="008D56DB"/>
    <w:rsid w:val="00902859"/>
    <w:rsid w:val="0093465D"/>
    <w:rsid w:val="00970CFD"/>
    <w:rsid w:val="00995F43"/>
    <w:rsid w:val="009D63BB"/>
    <w:rsid w:val="00A403E9"/>
    <w:rsid w:val="00A417E1"/>
    <w:rsid w:val="00A914AD"/>
    <w:rsid w:val="00AB3A9C"/>
    <w:rsid w:val="00AD081E"/>
    <w:rsid w:val="00AE5411"/>
    <w:rsid w:val="00B27657"/>
    <w:rsid w:val="00B459D6"/>
    <w:rsid w:val="00B471A6"/>
    <w:rsid w:val="00B727E3"/>
    <w:rsid w:val="00B7741A"/>
    <w:rsid w:val="00B90721"/>
    <w:rsid w:val="00C04484"/>
    <w:rsid w:val="00C56A7D"/>
    <w:rsid w:val="00C62899"/>
    <w:rsid w:val="00C755DB"/>
    <w:rsid w:val="00C914C3"/>
    <w:rsid w:val="00CB39BF"/>
    <w:rsid w:val="00CC5B2C"/>
    <w:rsid w:val="00DA46E9"/>
    <w:rsid w:val="00DD0F46"/>
    <w:rsid w:val="00E00691"/>
    <w:rsid w:val="00E054A0"/>
    <w:rsid w:val="00E536CD"/>
    <w:rsid w:val="00E83253"/>
    <w:rsid w:val="00E87978"/>
    <w:rsid w:val="00E961A7"/>
    <w:rsid w:val="00EB2806"/>
    <w:rsid w:val="00EB63A1"/>
    <w:rsid w:val="00F470FD"/>
    <w:rsid w:val="00F74D39"/>
    <w:rsid w:val="00F75E38"/>
    <w:rsid w:val="00F92241"/>
    <w:rsid w:val="00FA5DA9"/>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2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542C20"/>
    <w:pPr>
      <w:keepNext/>
      <w:keepLines/>
      <w:spacing w:before="100" w:beforeAutospacing="1" w:after="100" w:afterAutospacing="1"/>
      <w:jc w:val="center"/>
      <w:outlineLvl w:val="0"/>
    </w:pPr>
    <w:rPr>
      <w:rFonts w:ascii="Arial Black" w:eastAsiaTheme="majorEastAsia" w:hAnsi="Arial Black" w:cstheme="majorBidi"/>
      <w:sz w:val="48"/>
      <w:szCs w:val="36"/>
      <w:u w:color="8FBE6A"/>
    </w:rPr>
  </w:style>
  <w:style w:type="paragraph" w:styleId="Heading2">
    <w:name w:val="heading 2"/>
    <w:link w:val="Heading2Char"/>
    <w:autoRedefine/>
    <w:uiPriority w:val="9"/>
    <w:unhideWhenUsed/>
    <w:qFormat/>
    <w:rsid w:val="00542C20"/>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542C20"/>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542C20"/>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AB3A9C"/>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F75E38"/>
    <w:pPr>
      <w:keepNext/>
      <w:keepLines/>
      <w:spacing w:before="200" w:after="0"/>
      <w:outlineLvl w:val="5"/>
    </w:pPr>
    <w:rPr>
      <w:rFonts w:eastAsiaTheme="majorEastAsia" w:cstheme="majorBidi"/>
      <w:iCs/>
      <w:sz w:val="30"/>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20"/>
    <w:rPr>
      <w:rFonts w:ascii="Arial Black" w:eastAsiaTheme="majorEastAsia" w:hAnsi="Arial Black" w:cstheme="majorBidi"/>
      <w:sz w:val="48"/>
      <w:szCs w:val="36"/>
      <w:u w:color="8FBE6A"/>
    </w:rPr>
  </w:style>
  <w:style w:type="character" w:customStyle="1" w:styleId="Heading2Char">
    <w:name w:val="Heading 2 Char"/>
    <w:basedOn w:val="DefaultParagraphFont"/>
    <w:link w:val="Heading2"/>
    <w:uiPriority w:val="9"/>
    <w:rsid w:val="00542C20"/>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542C20"/>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542C20"/>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AB3A9C"/>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F75E3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uiPriority w:val="10"/>
    <w:qFormat/>
    <w:rsid w:val="00023CB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023CB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customStyle="1" w:styleId="Body">
    <w:name w:val="Body"/>
    <w:basedOn w:val="Normal"/>
    <w:link w:val="BodyChar"/>
    <w:rsid w:val="003D79E9"/>
    <w:pPr>
      <w:spacing w:after="240" w:afterAutospacing="0" w:line="240" w:lineRule="auto"/>
    </w:pPr>
    <w:rPr>
      <w:rFonts w:ascii="Times New Roman" w:eastAsia="Times" w:hAnsi="Times New Roman" w:cs="Times New Roman"/>
      <w:szCs w:val="20"/>
    </w:rPr>
  </w:style>
  <w:style w:type="paragraph" w:customStyle="1" w:styleId="StyleHeading1Before0ptAfter0ptBottomSinglesoli">
    <w:name w:val="Style Heading 1 + Before:  0 pt After:  0 pt Bottom: (Single soli..."/>
    <w:basedOn w:val="Heading1"/>
    <w:rsid w:val="003D79E9"/>
    <w:pPr>
      <w:keepLines w:val="0"/>
      <w:pBdr>
        <w:bottom w:val="single" w:sz="4" w:space="1" w:color="auto"/>
      </w:pBdr>
      <w:spacing w:before="0" w:beforeAutospacing="0" w:after="240" w:afterAutospacing="0"/>
    </w:pPr>
    <w:rPr>
      <w:rFonts w:ascii="Arial" w:eastAsia="Times New Roman" w:hAnsi="Arial" w:cs="Times New Roman"/>
      <w:b/>
      <w:bCs/>
      <w:kern w:val="28"/>
      <w:sz w:val="28"/>
      <w:szCs w:val="20"/>
    </w:rPr>
  </w:style>
  <w:style w:type="paragraph" w:customStyle="1" w:styleId="12PTAfterInd">
    <w:name w:val="12 PT After Ind"/>
    <w:basedOn w:val="Normal"/>
    <w:rsid w:val="003D79E9"/>
    <w:pPr>
      <w:spacing w:after="240" w:afterAutospacing="0" w:line="240" w:lineRule="auto"/>
    </w:pPr>
    <w:rPr>
      <w:rFonts w:ascii="Times New Roman" w:eastAsia="Times" w:hAnsi="Times New Roman" w:cs="Times New Roman"/>
      <w:szCs w:val="20"/>
    </w:rPr>
  </w:style>
  <w:style w:type="paragraph" w:customStyle="1" w:styleId="StyleLeft0Hanging05CharCharCharCharCharCharCharCharCharCharCharCharCharCharCharCharCharCharCharCharCharCharCharCharCharCharCharCharCharCharCharCharCharCharCharCharCharCharCharCharCharCharCharChar">
    <w:name w:val="Style Left:  0&quot; Hanging:  0.5&quot; Char Char Char Char Char Char Char Char Char Char Char Char Char Char Char Char Char Char Char Char Char Char Char Char Char Char Char Char Char Char Char Char Char Char Char Char Char Char Char Char Char Char Char Char"/>
    <w:basedOn w:val="Normal"/>
    <w:link w:val="StyleLeft0Hanging05CharCharCharCharCharCharCharCharCharCharCharCharCharCharCharCharCharCharCharCharCharCharCharCharCharCharCharCharCharCharCharCharCharCharCharCharCharCharCharCharCharCharCharCharCh"/>
    <w:rsid w:val="003D79E9"/>
    <w:pPr>
      <w:spacing w:after="120" w:afterAutospacing="0" w:line="240" w:lineRule="auto"/>
      <w:ind w:left="432" w:hanging="432"/>
    </w:pPr>
    <w:rPr>
      <w:rFonts w:ascii="Times New Roman" w:eastAsia="Times New Roman" w:hAnsi="Times New Roman" w:cs="Times New Roman"/>
      <w:szCs w:val="20"/>
    </w:rPr>
  </w:style>
  <w:style w:type="character" w:customStyle="1" w:styleId="StyleLeft0Hanging05CharCharCharCharCharCharCharCharCharCharCharCharCharCharCharCharCharCharCharCharCharCharCharCharCharCharCharCharCharCharCharCharCharCharCharCharCharCharCharCharCharCharCharCharCh">
    <w:name w:val="Style Left:  0&quot; Hanging:  0.5&quot; Char Char Char Char Char Char Char Char Char Char Char Char Char Char Char Char Char Char Char Char Char Char Char Char Char Char Char Char Char Char Char Char Char Char Char Char Char Char Char Char Char Char Char Char Ch"/>
    <w:basedOn w:val="DefaultParagraphFont"/>
    <w:link w:val="StyleLeft0Hanging05CharCharCharCharCharCharCharCharCharCharCharCharCharCharCharCharCharCharCharCharCharCharCharCharCharCharCharCharCharCharCharCharCharCharCharCharCharCharCharCharCharCharCharChar"/>
    <w:rsid w:val="003D79E9"/>
    <w:rPr>
      <w:rFonts w:ascii="Times New Roman" w:eastAsia="Times New Roman" w:hAnsi="Times New Roman" w:cs="Times New Roman"/>
      <w:sz w:val="24"/>
      <w:szCs w:val="20"/>
    </w:rPr>
  </w:style>
  <w:style w:type="paragraph" w:styleId="HTMLPreformatted">
    <w:name w:val="HTML Preformatted"/>
    <w:basedOn w:val="Normal"/>
    <w:link w:val="HTMLPreformattedChar"/>
    <w:rsid w:val="003D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79E9"/>
    <w:rPr>
      <w:rFonts w:ascii="Courier New" w:eastAsia="Times New Roman" w:hAnsi="Courier New" w:cs="Courier New"/>
      <w:sz w:val="20"/>
      <w:szCs w:val="20"/>
    </w:rPr>
  </w:style>
  <w:style w:type="paragraph" w:customStyle="1" w:styleId="IndentedParagraph">
    <w:name w:val="Indented Paragraph"/>
    <w:basedOn w:val="Body"/>
    <w:rsid w:val="003D79E9"/>
    <w:pPr>
      <w:ind w:left="720" w:right="720"/>
    </w:pPr>
  </w:style>
  <w:style w:type="character" w:customStyle="1" w:styleId="BodyChar">
    <w:name w:val="Body Char"/>
    <w:basedOn w:val="DefaultParagraphFont"/>
    <w:link w:val="Body"/>
    <w:rsid w:val="003D79E9"/>
    <w:rPr>
      <w:rFonts w:ascii="Times New Roman" w:eastAsia="Times" w:hAnsi="Times New Roman" w:cs="Times New Roman"/>
      <w:sz w:val="24"/>
      <w:szCs w:val="20"/>
    </w:rPr>
  </w:style>
  <w:style w:type="paragraph" w:customStyle="1" w:styleId="HangingIndentBothSides">
    <w:name w:val="Hanging Indent Both Sides"/>
    <w:basedOn w:val="Normal"/>
    <w:rsid w:val="003D79E9"/>
    <w:pPr>
      <w:spacing w:after="240" w:afterAutospacing="0" w:line="240" w:lineRule="auto"/>
      <w:ind w:left="432" w:right="432"/>
    </w:pPr>
    <w:rPr>
      <w:rFonts w:ascii="Times New Roman" w:eastAsia="Times" w:hAnsi="Times New Roman" w:cs="Times New Roman"/>
      <w:szCs w:val="20"/>
    </w:rPr>
  </w:style>
  <w:style w:type="character" w:customStyle="1" w:styleId="headerslevel2">
    <w:name w:val="headerslevel2"/>
    <w:basedOn w:val="DefaultParagraphFont"/>
    <w:rsid w:val="003D79E9"/>
  </w:style>
  <w:style w:type="character" w:customStyle="1" w:styleId="contenttext">
    <w:name w:val="contenttext"/>
    <w:basedOn w:val="DefaultParagraphFont"/>
    <w:rsid w:val="003D79E9"/>
  </w:style>
  <w:style w:type="paragraph" w:customStyle="1" w:styleId="IndentedBullet">
    <w:name w:val="Indented Bullet"/>
    <w:basedOn w:val="Normal"/>
    <w:link w:val="IndentedBulletChar"/>
    <w:rsid w:val="003D79E9"/>
    <w:pPr>
      <w:numPr>
        <w:numId w:val="3"/>
      </w:numPr>
      <w:tabs>
        <w:tab w:val="num" w:pos="432"/>
      </w:tabs>
      <w:spacing w:after="60" w:afterAutospacing="0" w:line="240" w:lineRule="auto"/>
      <w:ind w:right="432"/>
    </w:pPr>
    <w:rPr>
      <w:rFonts w:ascii="Times New Roman" w:eastAsia="Times New Roman" w:hAnsi="Times New Roman" w:cs="Times New Roman"/>
    </w:rPr>
  </w:style>
  <w:style w:type="character" w:customStyle="1" w:styleId="IndentedBulletChar">
    <w:name w:val="Indented Bullet Char"/>
    <w:basedOn w:val="DefaultParagraphFont"/>
    <w:link w:val="IndentedBullet"/>
    <w:rsid w:val="003D79E9"/>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2E75"/>
  </w:style>
  <w:style w:type="paragraph" w:styleId="Revision">
    <w:name w:val="Revision"/>
    <w:hidden/>
    <w:uiPriority w:val="99"/>
    <w:semiHidden/>
    <w:rsid w:val="00583318"/>
    <w:pPr>
      <w:spacing w:after="0"/>
    </w:pPr>
    <w:rPr>
      <w:rFonts w:ascii="Arial" w:eastAsiaTheme="minorEastAsia" w:hAnsi="Arial"/>
      <w:sz w:val="24"/>
      <w:szCs w:val="24"/>
    </w:rPr>
  </w:style>
  <w:style w:type="character" w:customStyle="1" w:styleId="st">
    <w:name w:val="st"/>
    <w:basedOn w:val="DefaultParagraphFont"/>
    <w:rsid w:val="00E536CD"/>
  </w:style>
  <w:style w:type="paragraph" w:styleId="DocumentMap">
    <w:name w:val="Document Map"/>
    <w:basedOn w:val="Normal"/>
    <w:link w:val="DocumentMapChar"/>
    <w:uiPriority w:val="99"/>
    <w:semiHidden/>
    <w:unhideWhenUsed/>
    <w:rsid w:val="00742DFC"/>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42DFC"/>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A0"/>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542C20"/>
    <w:pPr>
      <w:keepNext/>
      <w:keepLines/>
      <w:spacing w:before="100" w:beforeAutospacing="1" w:after="100" w:afterAutospacing="1"/>
      <w:jc w:val="center"/>
      <w:outlineLvl w:val="0"/>
    </w:pPr>
    <w:rPr>
      <w:rFonts w:ascii="Arial Black" w:eastAsiaTheme="majorEastAsia" w:hAnsi="Arial Black" w:cstheme="majorBidi"/>
      <w:sz w:val="48"/>
      <w:szCs w:val="36"/>
      <w:u w:color="8FBE6A"/>
    </w:rPr>
  </w:style>
  <w:style w:type="paragraph" w:styleId="Heading2">
    <w:name w:val="heading 2"/>
    <w:link w:val="Heading2Char"/>
    <w:autoRedefine/>
    <w:uiPriority w:val="9"/>
    <w:unhideWhenUsed/>
    <w:qFormat/>
    <w:rsid w:val="00542C20"/>
    <w:pPr>
      <w:keepNext/>
      <w:keepLines/>
      <w:spacing w:before="200" w:after="240"/>
      <w:outlineLvl w:val="1"/>
    </w:pPr>
    <w:rPr>
      <w:rFonts w:ascii="Arial Black" w:eastAsiaTheme="majorEastAsia" w:hAnsi="Arial Black" w:cstheme="majorBidi"/>
      <w:sz w:val="36"/>
      <w:szCs w:val="32"/>
      <w:u w:color="8FBE6A"/>
    </w:rPr>
  </w:style>
  <w:style w:type="paragraph" w:styleId="Heading3">
    <w:name w:val="heading 3"/>
    <w:link w:val="Heading3Char"/>
    <w:autoRedefine/>
    <w:uiPriority w:val="9"/>
    <w:unhideWhenUsed/>
    <w:qFormat/>
    <w:rsid w:val="00542C20"/>
    <w:pPr>
      <w:keepNext/>
      <w:keepLines/>
      <w:spacing w:before="200" w:after="240"/>
      <w:outlineLvl w:val="2"/>
    </w:pPr>
    <w:rPr>
      <w:rFonts w:ascii="Arial Black" w:eastAsiaTheme="majorEastAsia" w:hAnsi="Arial Black" w:cstheme="majorBidi"/>
      <w:sz w:val="32"/>
      <w:szCs w:val="28"/>
      <w:u w:color="FFFFFF" w:themeColor="background1"/>
    </w:rPr>
  </w:style>
  <w:style w:type="paragraph" w:styleId="Heading4">
    <w:name w:val="heading 4"/>
    <w:link w:val="Heading4Char"/>
    <w:autoRedefine/>
    <w:uiPriority w:val="9"/>
    <w:unhideWhenUsed/>
    <w:qFormat/>
    <w:rsid w:val="00542C20"/>
    <w:pPr>
      <w:keepNext/>
      <w:keepLines/>
      <w:spacing w:before="200" w:after="0"/>
      <w:outlineLvl w:val="3"/>
    </w:pPr>
    <w:rPr>
      <w:rFonts w:ascii="Arial Black" w:eastAsiaTheme="majorEastAsia" w:hAnsi="Arial Black" w:cstheme="majorBidi"/>
      <w:sz w:val="28"/>
      <w:szCs w:val="24"/>
    </w:rPr>
  </w:style>
  <w:style w:type="paragraph" w:styleId="Heading5">
    <w:name w:val="heading 5"/>
    <w:link w:val="Heading5Char"/>
    <w:autoRedefine/>
    <w:uiPriority w:val="9"/>
    <w:unhideWhenUsed/>
    <w:qFormat/>
    <w:rsid w:val="00AB3A9C"/>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F75E38"/>
    <w:pPr>
      <w:keepNext/>
      <w:keepLines/>
      <w:spacing w:before="200" w:after="0"/>
      <w:outlineLvl w:val="5"/>
    </w:pPr>
    <w:rPr>
      <w:rFonts w:eastAsiaTheme="majorEastAsia" w:cstheme="majorBidi"/>
      <w:iCs/>
      <w:sz w:val="30"/>
    </w:rPr>
  </w:style>
  <w:style w:type="paragraph" w:styleId="Heading7">
    <w:name w:val="heading 7"/>
    <w:basedOn w:val="Normal"/>
    <w:next w:val="Normal"/>
    <w:link w:val="Heading7Char"/>
    <w:uiPriority w:val="9"/>
    <w:semiHidden/>
    <w:unhideWhenUsed/>
    <w:qFormat/>
    <w:rsid w:val="00F75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E3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F75E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20"/>
    <w:rPr>
      <w:rFonts w:ascii="Arial Black" w:eastAsiaTheme="majorEastAsia" w:hAnsi="Arial Black" w:cstheme="majorBidi"/>
      <w:sz w:val="48"/>
      <w:szCs w:val="36"/>
      <w:u w:color="8FBE6A"/>
    </w:rPr>
  </w:style>
  <w:style w:type="character" w:customStyle="1" w:styleId="Heading2Char">
    <w:name w:val="Heading 2 Char"/>
    <w:basedOn w:val="DefaultParagraphFont"/>
    <w:link w:val="Heading2"/>
    <w:uiPriority w:val="9"/>
    <w:rsid w:val="00542C20"/>
    <w:rPr>
      <w:rFonts w:ascii="Arial Black" w:eastAsiaTheme="majorEastAsia" w:hAnsi="Arial Black" w:cstheme="majorBidi"/>
      <w:sz w:val="36"/>
      <w:szCs w:val="32"/>
      <w:u w:color="8FBE6A"/>
    </w:rPr>
  </w:style>
  <w:style w:type="character" w:customStyle="1" w:styleId="Heading3Char">
    <w:name w:val="Heading 3 Char"/>
    <w:basedOn w:val="DefaultParagraphFont"/>
    <w:link w:val="Heading3"/>
    <w:uiPriority w:val="9"/>
    <w:rsid w:val="00542C20"/>
    <w:rPr>
      <w:rFonts w:ascii="Arial Black" w:eastAsiaTheme="majorEastAsia" w:hAnsi="Arial Black" w:cstheme="majorBidi"/>
      <w:sz w:val="32"/>
      <w:szCs w:val="28"/>
      <w:u w:color="FFFFFF" w:themeColor="background1"/>
    </w:rPr>
  </w:style>
  <w:style w:type="character" w:customStyle="1" w:styleId="Heading4Char">
    <w:name w:val="Heading 4 Char"/>
    <w:basedOn w:val="DefaultParagraphFont"/>
    <w:link w:val="Heading4"/>
    <w:uiPriority w:val="9"/>
    <w:rsid w:val="00542C20"/>
    <w:rPr>
      <w:rFonts w:ascii="Arial Black" w:eastAsiaTheme="majorEastAsia" w:hAnsi="Arial Black" w:cstheme="majorBidi"/>
      <w:sz w:val="28"/>
      <w:szCs w:val="24"/>
    </w:rPr>
  </w:style>
  <w:style w:type="character" w:customStyle="1" w:styleId="Heading5Char">
    <w:name w:val="Heading 5 Char"/>
    <w:basedOn w:val="DefaultParagraphFont"/>
    <w:link w:val="Heading5"/>
    <w:uiPriority w:val="9"/>
    <w:rsid w:val="00AB3A9C"/>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F75E3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F75E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E3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F75E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724B1"/>
    <w:rPr>
      <w:b/>
      <w:bCs/>
      <w:color w:val="808080" w:themeColor="background1" w:themeShade="80"/>
      <w:sz w:val="18"/>
      <w:szCs w:val="18"/>
    </w:rPr>
  </w:style>
  <w:style w:type="paragraph" w:styleId="Title">
    <w:name w:val="Title"/>
    <w:basedOn w:val="Normal"/>
    <w:next w:val="Normal"/>
    <w:link w:val="TitleChar"/>
    <w:autoRedefine/>
    <w:uiPriority w:val="10"/>
    <w:qFormat/>
    <w:rsid w:val="00023CB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023CB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F75E3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F75E38"/>
    <w:rPr>
      <w:rFonts w:ascii="Arial" w:eastAsiaTheme="majorEastAsia" w:hAnsi="Arial" w:cstheme="majorBidi"/>
      <w:iCs/>
      <w:color w:val="333333"/>
      <w:sz w:val="24"/>
      <w:szCs w:val="24"/>
    </w:rPr>
  </w:style>
  <w:style w:type="character" w:styleId="Strong">
    <w:name w:val="Strong"/>
    <w:basedOn w:val="DefaultParagraphFont"/>
    <w:uiPriority w:val="22"/>
    <w:qFormat/>
    <w:rsid w:val="00F75E38"/>
    <w:rPr>
      <w:b/>
      <w:bCs/>
    </w:rPr>
  </w:style>
  <w:style w:type="character" w:styleId="Emphasis">
    <w:name w:val="Emphasis"/>
    <w:basedOn w:val="DefaultParagraphFont"/>
    <w:uiPriority w:val="20"/>
    <w:qFormat/>
    <w:rsid w:val="00F75E38"/>
    <w:rPr>
      <w:i/>
      <w:iCs/>
    </w:rPr>
  </w:style>
  <w:style w:type="paragraph" w:styleId="NoSpacing">
    <w:name w:val="No Spacing"/>
    <w:link w:val="NoSpacingChar"/>
    <w:uiPriority w:val="1"/>
    <w:qFormat/>
    <w:rsid w:val="00F75E38"/>
    <w:pPr>
      <w:spacing w:after="0"/>
    </w:pPr>
    <w:rPr>
      <w:rFonts w:eastAsiaTheme="minorEastAsia"/>
    </w:rPr>
  </w:style>
  <w:style w:type="paragraph" w:styleId="ListParagraph">
    <w:name w:val="List Paragraph"/>
    <w:basedOn w:val="Normal"/>
    <w:uiPriority w:val="34"/>
    <w:qFormat/>
    <w:rsid w:val="00F75E38"/>
    <w:pPr>
      <w:ind w:left="720"/>
      <w:contextualSpacing/>
    </w:pPr>
  </w:style>
  <w:style w:type="paragraph" w:styleId="Quote">
    <w:name w:val="Quote"/>
    <w:link w:val="QuoteChar"/>
    <w:uiPriority w:val="29"/>
    <w:qFormat/>
    <w:rsid w:val="00F75E3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F75E38"/>
    <w:rPr>
      <w:rFonts w:ascii="Arial" w:eastAsiaTheme="minorEastAsia" w:hAnsi="Arial"/>
      <w:i/>
      <w:iCs/>
      <w:color w:val="000000" w:themeColor="text1"/>
    </w:rPr>
  </w:style>
  <w:style w:type="paragraph" w:styleId="IntenseQuote">
    <w:name w:val="Intense Quote"/>
    <w:link w:val="IntenseQuoteChar"/>
    <w:uiPriority w:val="30"/>
    <w:qFormat/>
    <w:rsid w:val="00F75E3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F75E38"/>
    <w:rPr>
      <w:rFonts w:ascii="Arial" w:eastAsiaTheme="minorEastAsia" w:hAnsi="Arial"/>
      <w:b/>
      <w:bCs/>
      <w:i/>
      <w:iCs/>
      <w:color w:val="000000" w:themeColor="text1"/>
    </w:rPr>
  </w:style>
  <w:style w:type="character" w:styleId="SubtleEmphasis">
    <w:name w:val="Subtle Emphasis"/>
    <w:basedOn w:val="DefaultParagraphFont"/>
    <w:uiPriority w:val="19"/>
    <w:qFormat/>
    <w:rsid w:val="00F75E38"/>
    <w:rPr>
      <w:i/>
      <w:iCs/>
      <w:color w:val="808080" w:themeColor="text1" w:themeTint="7F"/>
    </w:rPr>
  </w:style>
  <w:style w:type="character" w:styleId="IntenseEmphasis">
    <w:name w:val="Intense Emphasis"/>
    <w:basedOn w:val="DefaultParagraphFont"/>
    <w:uiPriority w:val="21"/>
    <w:qFormat/>
    <w:rsid w:val="00F75E38"/>
    <w:rPr>
      <w:b/>
      <w:bCs/>
      <w:i/>
      <w:iCs/>
      <w:color w:val="auto"/>
    </w:rPr>
  </w:style>
  <w:style w:type="paragraph" w:styleId="TOCHeading">
    <w:name w:val="TOC Heading"/>
    <w:basedOn w:val="Heading1"/>
    <w:next w:val="Normal"/>
    <w:uiPriority w:val="39"/>
    <w:semiHidden/>
    <w:unhideWhenUsed/>
    <w:qFormat/>
    <w:rsid w:val="00F75E38"/>
    <w:pPr>
      <w:outlineLvl w:val="9"/>
    </w:pPr>
  </w:style>
  <w:style w:type="paragraph" w:customStyle="1" w:styleId="Textboxtext">
    <w:name w:val="Text box text"/>
    <w:basedOn w:val="Normal"/>
    <w:qFormat/>
    <w:rsid w:val="004E64C7"/>
    <w:pPr>
      <w:spacing w:line="300" w:lineRule="atLeast"/>
      <w:ind w:left="720" w:right="720"/>
    </w:p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F75E38"/>
    <w:rPr>
      <w:rFonts w:eastAsiaTheme="minorEastAsia"/>
    </w:rPr>
  </w:style>
  <w:style w:type="paragraph" w:styleId="NormalWeb">
    <w:name w:val="Normal (Web)"/>
    <w:basedOn w:val="Normal"/>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F75E38"/>
    <w:pPr>
      <w:spacing w:after="200"/>
    </w:pPr>
    <w:rPr>
      <w:rFonts w:ascii="Arial" w:eastAsiaTheme="minorEastAsia" w:hAnsi="Arial" w:cs="Helvetica"/>
      <w:sz w:val="20"/>
    </w:rPr>
  </w:style>
  <w:style w:type="table" w:styleId="TableGrid">
    <w:name w:val="Table Grid"/>
    <w:basedOn w:val="TableNormal"/>
    <w:uiPriority w:val="59"/>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07452F"/>
    <w:rPr>
      <w:b/>
      <w:sz w:val="26"/>
    </w:rPr>
  </w:style>
  <w:style w:type="paragraph" w:customStyle="1" w:styleId="Textboxheading">
    <w:name w:val="Text box heading"/>
    <w:basedOn w:val="Normal"/>
    <w:autoRedefine/>
    <w:qFormat/>
    <w:rsid w:val="00AB3A9C"/>
    <w:pPr>
      <w:spacing w:before="600"/>
      <w:ind w:left="720" w:right="720"/>
    </w:pPr>
    <w:rPr>
      <w:b/>
      <w:bCs/>
    </w:rPr>
  </w:style>
  <w:style w:type="paragraph" w:customStyle="1" w:styleId="Insetnoteheading">
    <w:name w:val="Inset note heading"/>
    <w:basedOn w:val="Normal"/>
    <w:autoRedefine/>
    <w:qFormat/>
    <w:rsid w:val="00AB3A9C"/>
    <w:pPr>
      <w:ind w:left="720" w:right="720"/>
    </w:pPr>
    <w:rPr>
      <w:b/>
      <w:bCs/>
    </w:rPr>
  </w:style>
  <w:style w:type="paragraph" w:customStyle="1" w:styleId="Body">
    <w:name w:val="Body"/>
    <w:basedOn w:val="Normal"/>
    <w:link w:val="BodyChar"/>
    <w:rsid w:val="003D79E9"/>
    <w:pPr>
      <w:spacing w:after="240" w:afterAutospacing="0" w:line="240" w:lineRule="auto"/>
    </w:pPr>
    <w:rPr>
      <w:rFonts w:ascii="Times New Roman" w:eastAsia="Times" w:hAnsi="Times New Roman" w:cs="Times New Roman"/>
      <w:szCs w:val="20"/>
    </w:rPr>
  </w:style>
  <w:style w:type="paragraph" w:customStyle="1" w:styleId="StyleHeading1Before0ptAfter0ptBottomSinglesoli">
    <w:name w:val="Style Heading 1 + Before:  0 pt After:  0 pt Bottom: (Single soli..."/>
    <w:basedOn w:val="Heading1"/>
    <w:rsid w:val="003D79E9"/>
    <w:pPr>
      <w:keepLines w:val="0"/>
      <w:pBdr>
        <w:bottom w:val="single" w:sz="4" w:space="1" w:color="auto"/>
      </w:pBdr>
      <w:spacing w:before="0" w:beforeAutospacing="0" w:after="240" w:afterAutospacing="0"/>
    </w:pPr>
    <w:rPr>
      <w:rFonts w:ascii="Arial" w:eastAsia="Times New Roman" w:hAnsi="Arial" w:cs="Times New Roman"/>
      <w:b/>
      <w:bCs/>
      <w:kern w:val="28"/>
      <w:sz w:val="28"/>
      <w:szCs w:val="20"/>
    </w:rPr>
  </w:style>
  <w:style w:type="paragraph" w:customStyle="1" w:styleId="12PTAfterInd">
    <w:name w:val="12 PT After Ind"/>
    <w:basedOn w:val="Normal"/>
    <w:rsid w:val="003D79E9"/>
    <w:pPr>
      <w:spacing w:after="240" w:afterAutospacing="0" w:line="240" w:lineRule="auto"/>
    </w:pPr>
    <w:rPr>
      <w:rFonts w:ascii="Times New Roman" w:eastAsia="Times" w:hAnsi="Times New Roman" w:cs="Times New Roman"/>
      <w:szCs w:val="20"/>
    </w:rPr>
  </w:style>
  <w:style w:type="paragraph" w:customStyle="1" w:styleId="StyleLeft0Hanging05CharCharCharCharCharCharCharCharCharCharCharCharCharCharCharCharCharCharCharCharCharCharCharCharCharCharCharCharCharCharCharCharCharCharCharCharCharCharCharCharCharCharCharChar">
    <w:name w:val="Style Left:  0&quot; Hanging:  0.5&quot; Char Char Char Char Char Char Char Char Char Char Char Char Char Char Char Char Char Char Char Char Char Char Char Char Char Char Char Char Char Char Char Char Char Char Char Char Char Char Char Char Char Char Char Char"/>
    <w:basedOn w:val="Normal"/>
    <w:link w:val="StyleLeft0Hanging05CharCharCharCharCharCharCharCharCharCharCharCharCharCharCharCharCharCharCharCharCharCharCharCharCharCharCharCharCharCharCharCharCharCharCharCharCharCharCharCharCharCharCharCharCh"/>
    <w:rsid w:val="003D79E9"/>
    <w:pPr>
      <w:spacing w:after="120" w:afterAutospacing="0" w:line="240" w:lineRule="auto"/>
      <w:ind w:left="432" w:hanging="432"/>
    </w:pPr>
    <w:rPr>
      <w:rFonts w:ascii="Times New Roman" w:eastAsia="Times New Roman" w:hAnsi="Times New Roman" w:cs="Times New Roman"/>
      <w:szCs w:val="20"/>
    </w:rPr>
  </w:style>
  <w:style w:type="character" w:customStyle="1" w:styleId="StyleLeft0Hanging05CharCharCharCharCharCharCharCharCharCharCharCharCharCharCharCharCharCharCharCharCharCharCharCharCharCharCharCharCharCharCharCharCharCharCharCharCharCharCharCharCharCharCharCharCh">
    <w:name w:val="Style Left:  0&quot; Hanging:  0.5&quot; Char Char Char Char Char Char Char Char Char Char Char Char Char Char Char Char Char Char Char Char Char Char Char Char Char Char Char Char Char Char Char Char Char Char Char Char Char Char Char Char Char Char Char Char Ch"/>
    <w:basedOn w:val="DefaultParagraphFont"/>
    <w:link w:val="StyleLeft0Hanging05CharCharCharCharCharCharCharCharCharCharCharCharCharCharCharCharCharCharCharCharCharCharCharCharCharCharCharCharCharCharCharCharCharCharCharCharCharCharCharCharCharCharCharChar"/>
    <w:rsid w:val="003D79E9"/>
    <w:rPr>
      <w:rFonts w:ascii="Times New Roman" w:eastAsia="Times New Roman" w:hAnsi="Times New Roman" w:cs="Times New Roman"/>
      <w:sz w:val="24"/>
      <w:szCs w:val="20"/>
    </w:rPr>
  </w:style>
  <w:style w:type="paragraph" w:styleId="HTMLPreformatted">
    <w:name w:val="HTML Preformatted"/>
    <w:basedOn w:val="Normal"/>
    <w:link w:val="HTMLPreformattedChar"/>
    <w:rsid w:val="003D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D79E9"/>
    <w:rPr>
      <w:rFonts w:ascii="Courier New" w:eastAsia="Times New Roman" w:hAnsi="Courier New" w:cs="Courier New"/>
      <w:sz w:val="20"/>
      <w:szCs w:val="20"/>
    </w:rPr>
  </w:style>
  <w:style w:type="paragraph" w:customStyle="1" w:styleId="IndentedParagraph">
    <w:name w:val="Indented Paragraph"/>
    <w:basedOn w:val="Body"/>
    <w:rsid w:val="003D79E9"/>
    <w:pPr>
      <w:ind w:left="720" w:right="720"/>
    </w:pPr>
  </w:style>
  <w:style w:type="character" w:customStyle="1" w:styleId="BodyChar">
    <w:name w:val="Body Char"/>
    <w:basedOn w:val="DefaultParagraphFont"/>
    <w:link w:val="Body"/>
    <w:rsid w:val="003D79E9"/>
    <w:rPr>
      <w:rFonts w:ascii="Times New Roman" w:eastAsia="Times" w:hAnsi="Times New Roman" w:cs="Times New Roman"/>
      <w:sz w:val="24"/>
      <w:szCs w:val="20"/>
    </w:rPr>
  </w:style>
  <w:style w:type="paragraph" w:customStyle="1" w:styleId="HangingIndentBothSides">
    <w:name w:val="Hanging Indent Both Sides"/>
    <w:basedOn w:val="Normal"/>
    <w:rsid w:val="003D79E9"/>
    <w:pPr>
      <w:spacing w:after="240" w:afterAutospacing="0" w:line="240" w:lineRule="auto"/>
      <w:ind w:left="432" w:right="432"/>
    </w:pPr>
    <w:rPr>
      <w:rFonts w:ascii="Times New Roman" w:eastAsia="Times" w:hAnsi="Times New Roman" w:cs="Times New Roman"/>
      <w:szCs w:val="20"/>
    </w:rPr>
  </w:style>
  <w:style w:type="character" w:customStyle="1" w:styleId="headerslevel2">
    <w:name w:val="headerslevel2"/>
    <w:basedOn w:val="DefaultParagraphFont"/>
    <w:rsid w:val="003D79E9"/>
  </w:style>
  <w:style w:type="character" w:customStyle="1" w:styleId="contenttext">
    <w:name w:val="contenttext"/>
    <w:basedOn w:val="DefaultParagraphFont"/>
    <w:rsid w:val="003D79E9"/>
  </w:style>
  <w:style w:type="paragraph" w:customStyle="1" w:styleId="IndentedBullet">
    <w:name w:val="Indented Bullet"/>
    <w:basedOn w:val="Normal"/>
    <w:link w:val="IndentedBulletChar"/>
    <w:rsid w:val="003D79E9"/>
    <w:pPr>
      <w:numPr>
        <w:numId w:val="3"/>
      </w:numPr>
      <w:tabs>
        <w:tab w:val="num" w:pos="432"/>
      </w:tabs>
      <w:spacing w:after="60" w:afterAutospacing="0" w:line="240" w:lineRule="auto"/>
      <w:ind w:right="432"/>
    </w:pPr>
    <w:rPr>
      <w:rFonts w:ascii="Times New Roman" w:eastAsia="Times New Roman" w:hAnsi="Times New Roman" w:cs="Times New Roman"/>
    </w:rPr>
  </w:style>
  <w:style w:type="character" w:customStyle="1" w:styleId="IndentedBulletChar">
    <w:name w:val="Indented Bullet Char"/>
    <w:basedOn w:val="DefaultParagraphFont"/>
    <w:link w:val="IndentedBullet"/>
    <w:rsid w:val="003D79E9"/>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2E75"/>
  </w:style>
  <w:style w:type="paragraph" w:styleId="Revision">
    <w:name w:val="Revision"/>
    <w:hidden/>
    <w:uiPriority w:val="99"/>
    <w:semiHidden/>
    <w:rsid w:val="00583318"/>
    <w:pPr>
      <w:spacing w:after="0"/>
    </w:pPr>
    <w:rPr>
      <w:rFonts w:ascii="Arial" w:eastAsiaTheme="minorEastAsia" w:hAnsi="Arial"/>
      <w:sz w:val="24"/>
      <w:szCs w:val="24"/>
    </w:rPr>
  </w:style>
  <w:style w:type="character" w:customStyle="1" w:styleId="st">
    <w:name w:val="st"/>
    <w:basedOn w:val="DefaultParagraphFont"/>
    <w:rsid w:val="00E536CD"/>
  </w:style>
  <w:style w:type="paragraph" w:styleId="DocumentMap">
    <w:name w:val="Document Map"/>
    <w:basedOn w:val="Normal"/>
    <w:link w:val="DocumentMapChar"/>
    <w:uiPriority w:val="99"/>
    <w:semiHidden/>
    <w:unhideWhenUsed/>
    <w:rsid w:val="00742DFC"/>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42DFC"/>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5204">
      <w:bodyDiv w:val="1"/>
      <w:marLeft w:val="0"/>
      <w:marRight w:val="0"/>
      <w:marTop w:val="0"/>
      <w:marBottom w:val="0"/>
      <w:divBdr>
        <w:top w:val="none" w:sz="0" w:space="0" w:color="auto"/>
        <w:left w:val="none" w:sz="0" w:space="0" w:color="auto"/>
        <w:bottom w:val="none" w:sz="0" w:space="0" w:color="auto"/>
        <w:right w:val="none" w:sz="0" w:space="0" w:color="auto"/>
      </w:divBdr>
    </w:div>
    <w:div w:id="1291397311">
      <w:bodyDiv w:val="1"/>
      <w:marLeft w:val="0"/>
      <w:marRight w:val="0"/>
      <w:marTop w:val="0"/>
      <w:marBottom w:val="0"/>
      <w:divBdr>
        <w:top w:val="none" w:sz="0" w:space="0" w:color="auto"/>
        <w:left w:val="none" w:sz="0" w:space="0" w:color="auto"/>
        <w:bottom w:val="none" w:sz="0" w:space="0" w:color="auto"/>
        <w:right w:val="none" w:sz="0" w:space="0" w:color="auto"/>
      </w:divBdr>
    </w:div>
    <w:div w:id="18781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jpeg"/><Relationship Id="rId12" Type="http://schemas.openxmlformats.org/officeDocument/2006/relationships/hyperlink" Target="http://creativecommons.org/licenses/by-sa/4.0/" TargetMode="External"/><Relationship Id="rId13" Type="http://schemas.openxmlformats.org/officeDocument/2006/relationships/image" Target="media/image3.png"/><Relationship Id="rId14" Type="http://schemas.openxmlformats.org/officeDocument/2006/relationships/image" Target="cid:image001.png@01D05A6B.C52967D0" TargetMode="External"/><Relationship Id="rId15" Type="http://schemas.openxmlformats.org/officeDocument/2006/relationships/hyperlink" Target="http://www.afb.org/Section.asp?SectionID=8" TargetMode="External"/><Relationship Id="rId16" Type="http://schemas.openxmlformats.org/officeDocument/2006/relationships/hyperlink" Target="http://nces.ed.gov/" TargetMode="External"/><Relationship Id="rId17" Type="http://schemas.openxmlformats.org/officeDocument/2006/relationships/hyperlink" Target="http://education.umn.edu/NCEO/OnlinePubs/Policy14.htm" TargetMode="Externa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oc.gov/nls/about_history.html" TargetMode="External"/><Relationship Id="rId4" Type="http://schemas.openxmlformats.org/officeDocument/2006/relationships/hyperlink" Target="http://www.loc.gov/nls/about_history.html" TargetMode="External"/><Relationship Id="rId5" Type="http://schemas.openxmlformats.org/officeDocument/2006/relationships/hyperlink" Target="http://www.loc.gov/nls/reference/factsheets/copyright.html" TargetMode="External"/><Relationship Id="rId6" Type="http://schemas.openxmlformats.org/officeDocument/2006/relationships/hyperlink" Target="http://www.southwestada.org/html/topical/FAPSI/OCR/losrios.html" TargetMode="External"/><Relationship Id="rId1" Type="http://schemas.openxmlformats.org/officeDocument/2006/relationships/hyperlink" Target="http://www.ed.gov/policy/elsec/leg/esea02/beginning.html" TargetMode="External"/><Relationship Id="rId2" Type="http://schemas.openxmlformats.org/officeDocument/2006/relationships/hyperlink" Target="http://www2.ed.gov/nclb/accountability/ayp/yearl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28</Pages>
  <Words>9707</Words>
  <Characters>57370</Characters>
  <Application>Microsoft Macintosh Word</Application>
  <DocSecurity>0</DocSecurity>
  <Lines>1006</Lines>
  <Paragraphs>286</Paragraphs>
  <ScaleCrop>false</ScaleCrop>
  <HeadingPairs>
    <vt:vector size="2" baseType="variant">
      <vt:variant>
        <vt:lpstr>Title</vt:lpstr>
      </vt:variant>
      <vt:variant>
        <vt:i4>1</vt:i4>
      </vt:variant>
    </vt:vector>
  </HeadingPairs>
  <TitlesOfParts>
    <vt:vector size="1" baseType="lpstr">
      <vt:lpstr>The Promise of Accessible Textbooks: Increased Achievement for All Students</vt:lpstr>
    </vt:vector>
  </TitlesOfParts>
  <Manager>C Hitchcock</Manager>
  <Company>CAST</Company>
  <LinksUpToDate>false</LinksUpToDate>
  <CharactersWithSpaces>66791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Accessible Textbooks: Increased Achievement for All Students</dc:title>
  <dc:subject>accessible textbooks</dc:subject>
  <dc:creator>Skip Stahl</dc:creator>
  <cp:keywords>NCAC, accessible textbooks, print materials, Policy Guidance, Accessible &amp; Assistive Technologies, Copyright, NIMAS</cp:keywords>
  <dc:description>This document was originally a product of the National Center on Accessing the General Curriculum (NCAC). This version updated and distributed by the AEM Center.</dc:description>
  <cp:lastModifiedBy>Mindy Johnson</cp:lastModifiedBy>
  <cp:revision>12</cp:revision>
  <dcterms:created xsi:type="dcterms:W3CDTF">2015-08-05T15:40:00Z</dcterms:created>
  <dcterms:modified xsi:type="dcterms:W3CDTF">2015-09-21T20:16:00Z</dcterms:modified>
  <cp:category>Resource</cp:category>
</cp:coreProperties>
</file>